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1191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late applications for the appraisal of land for ad valorem tax purposes as qualified open-space land following the death of the owner of the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23.541, Tax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chief appraiser shall accept and approve or deny an application for appraisal under this subchapter after the deadline for filing the application has passed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that is the subject of the application was appraised under this subchapter in the preceding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of the land has changed due to the death of one or more owners during the preceding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is filed not later than the delinquency date for the taxes on the land for the year for which the application is filed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surviving spouse or a surviving child of the former owner;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executor or administrator of the estate of the former owner;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fiduciary acting upon behalf of a surviving spouse or surviving child of the decedent.</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  </w:t>
      </w:r>
      <w:r>
        <w:rPr>
          <w:u w:val="single"/>
        </w:rPr>
        <w:t xml:space="preserve">The penalty prescribed by this subsection does not apply to a late application filed under Subsection (a-1).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2023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