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88R8413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for certain employees, volunteers, and contractors, and for applicants for those positions, by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411.1106, Government Code, is amended by amending Subsections (b), (c), (d), and (e) and adding Subsections (b-1)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of the commission, or the executive commissioner's designee, is entitled to obtain from the department criminal history record information maintained by the department that relates to a person who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applicant for employment for a position in which the person, as an employee, would have access to sensitive personal or financial information, as determined by the executive commissioner,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eligibility services division of the commission;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commission's office of inspector general;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regulatory services division of the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 of the commission who has access to sensitive personal or financial information, as determined by the executive commissioner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a volunteer position or a volunteer in the regulatory services division of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a contract with or a contractor of the regulatory services division of the commission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411.087, the commission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through the Federal Bureau of Investigation criminal history record information maintained or indexed by that bureau that pertains to a person described by Subsection 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from any other criminal justice agency in this state criminal history record information maintained or indexed by that agency that pertains to a person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Criminal history record information obtained by the executive commissioner of the commission, or by the executive commissioner's designee,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may not be released or disclosed, except: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information is in a public record at the time the information is obtained;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court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a criminal justice agency, upon request;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with the consent of the person who is the subject of the criminal history record information;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as provided by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is not prohibited from disclosing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in a criminal proceeding or in a hearing conducted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executive commissioner shall destroy all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as soon as practicable after the information is used for its authorized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commission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