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Middleton</w:t>
      </w:r>
      <w:r xml:space="preserve">
        <w:tab wTab="150" tlc="none" cTlc="0"/>
      </w:r>
      <w:r>
        <w:t xml:space="preserve">S.B.</w:t>
      </w:r>
      <w:r xml:space="preserve">
        <w:t> </w:t>
      </w:r>
      <w:r>
        <w:t xml:space="preserve">No.</w:t>
      </w:r>
      <w:r xml:space="preserve">
        <w:t> </w:t>
      </w:r>
      <w:r>
        <w:t xml:space="preserve">1195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State Affairs; May</w:t>
      </w:r>
      <w:r xml:space="preserve">
        <w:t> </w:t>
      </w:r>
      <w:r>
        <w:t xml:space="preserve">2,</w:t>
      </w:r>
      <w:r xml:space="preserve">
        <w:t> </w:t>
      </w:r>
      <w:r>
        <w:t xml:space="preserve">2023 rereferred to Committee on Jurisprudence; May</w:t>
      </w:r>
      <w:r xml:space="preserve">
        <w:t> </w:t>
      </w:r>
      <w:r>
        <w:t xml:space="preserve">3,</w:t>
      </w:r>
      <w:r xml:space="preserve">
        <w:t> </w:t>
      </w:r>
      <w:r>
        <w:t xml:space="preserve">2023, reported favorably by the following vote:</w:t>
      </w:r>
      <w:r>
        <w:t xml:space="preserve"> </w:t>
      </w:r>
      <w:r>
        <w:t xml:space="preserve"> </w:t>
      </w:r>
      <w:r>
        <w:t xml:space="preserve">Yeas 3, Nays 2;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the attorney general to prosecute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CERTAIN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170A or 171,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20A, 36, or 39,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provide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