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88R11949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license by the Texas Department of Licensing and Regulation to certain out-of-state applicants;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51, Occupations Code, is amended by adding Section 51.4043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51.4043.</w:t>
      </w:r>
      <w:r>
        <w:rPr>
          <w:u w:val="single"/>
        </w:rPr>
        <w:t xml:space="preserve"> </w:t>
      </w:r>
      <w:r>
        <w:rPr>
          <w:u w:val="single"/>
        </w:rPr>
        <w:t xml:space="preserve"> </w:t>
      </w:r>
      <w:r>
        <w:rPr>
          <w:u w:val="single"/>
        </w:rPr>
        <w:t xml:space="preserve">ISSUANCE OF LICENSE TO CERTAIN OUT-OF-STATE APPLICANTS.  (a)  The department shall issue a license to an applicant who pays any required fees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current license in good standing in another state with a similar scope of practice, as determined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held the license for at least one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required to pass an examination or meet other experience, education, or training requirements to obtain the license;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have a disqualifying criminal history as determined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been subject to the revocation or surrender of the license in any state due to negligence or intentional misconduct in the performance of work under the license;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not currently the subject of a complaint or investigation in the other state for an act that constitutes unprofessional conduct or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an application for a license under a program regulated by the department submitted by an applicant from another state that does not require a license to engage in the activity for which the license is sought in this state, the department shall consider the work experience of the applicant as sufficient for the issuance of the license if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engaged in the activity for at least three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requirements of Subsections (a)(4) and (6).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license under this section may be required to pass a jurisprudence examination specific to the relevant laws of this state applicable to the activities for which the license is sought if a similar examination is required to obtain the license for all other applicants.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an applicant under this section with a written decision regarding the application not later than the 30th day after the date the application is submitted.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impose a fee not to exceed $100 for an application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The Texas Commission of Licensing and Regulation shall adopt rules required by Section 51.4043, Occupations Code, as added by this Act, not later than January 1, 2024.</w:t>
      </w:r>
    </w:p>
    <w:p w:rsidR="003F3435" w:rsidRDefault="0032493E">
      <w:pPr>
        <w:spacing w:line="480" w:lineRule="auto"/>
        <w:ind w:firstLine="720"/>
        <w:jc w:val="both"/>
      </w:pPr>
      <w:r>
        <w:t xml:space="preserve">(b)</w:t>
      </w:r>
      <w:r xml:space="preserve">
        <w:t> </w:t>
      </w:r>
      <w:r xml:space="preserve">
        <w:t> </w:t>
      </w:r>
      <w:r>
        <w:t xml:space="preserve">Section 51.4043, Occupations Code, as added by this Act, applies only to an application for a license submitted to the Texas Department of Licensing and Regulation on or after February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