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2.01(a)(2)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w:t>
      </w:r>
      <w:r>
        <w:rPr>
          <w:u w:val="single"/>
        </w:rPr>
        <w:t xml:space="preserve">Subsection</w:t>
      </w:r>
      <w:r>
        <w:t xml:space="preserve"> [</w:t>
      </w:r>
      <w:r>
        <w:rPr>
          <w:strike/>
        </w:rPr>
        <w:t xml:space="preserve">Subsections</w:t>
      </w:r>
      <w:r>
        <w:t xml:space="preserve">]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adding Subsections (a-1) and (c)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of this section,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w:t>
      </w:r>
      <w:r>
        <w:t xml:space="preserve"> </w:t>
      </w:r>
      <w:r>
        <w:t xml:space="preserve">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w:t>
      </w:r>
      <w:r>
        <w:t xml:space="preserve"> </w:t>
      </w:r>
      <w:r>
        <w:t xml:space="preserve">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or was an accomplice in wilfully bringing about the death, must be made during a meeting of the board.  A determination by the board under this section is not controlled by any other finding in any other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1207 passed the Senate on April</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1207 passed the House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1, three</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