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88R6539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1234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indicator of achievement for military readiness under the public school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39.053(c), Education Code, is amended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 by:</w:t>
      </w:r>
      <w:r>
        <w:t xml:space="preserve"> </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enlisting</w:t>
      </w:r>
      <w:r>
        <w:t xml:space="preserve"> [</w:t>
      </w:r>
      <w:r>
        <w:rPr>
          <w:strike/>
        </w:rPr>
        <w:t xml:space="preserve">enlist</w:t>
      </w:r>
      <w:r>
        <w:t xml:space="preserve">] in the armed forces of the United States or the Texas National Guard;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achieving a passing score set by the applicable military branch on the Armed Services Vocational Aptitude Battery test;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