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compensation and leave for certain security officers or investigators commissioned as peace officers by the comptroller.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403, Government Code, is amended by adding Section 403.03059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403.03059.</w:t>
      </w:r>
      <w:r>
        <w:rPr>
          <w:u w:val="single"/>
        </w:rPr>
        <w:t xml:space="preserve"> </w:t>
      </w:r>
      <w:r>
        <w:rPr>
          <w:u w:val="single"/>
        </w:rPr>
        <w:t xml:space="preserve"> </w:t>
      </w:r>
      <w:r>
        <w:rPr>
          <w:u w:val="single"/>
        </w:rPr>
        <w:t xml:space="preserve">COMPENSATION FOR COMMISSIONED PEACE OFFICERS.  The comptroller shall ensure that a security officer or investigator commissioned as a peace officer by the comptroller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comptroller</w:t>
      </w:r>
      <w:r>
        <w:t xml:space="preserve">.</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(a) </w:t>
      </w:r>
      <w:r>
        <w:t xml:space="preserve"> </w:t>
      </w:r>
      <w:r>
        <w:t xml:space="preserve">The classification officer in the office of the state auditor shall classify the position of commissioned peace officer employed by the comptroller of public accounts of the State of Texas as a Schedule C position under the position classification plan maintained under Chapter 654, Government Code.</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1237 passed the Senate on April</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1237 passed the House on May</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135, Nays</w:t>
      </w:r>
      <w:r xml:space="preserve">
        <w:t> </w:t>
      </w:r>
      <w:r>
        <w:t xml:space="preserve">4,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