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2023S0213-1  02/24/23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compensation and leave for certain security officers or investigators commissioned as peace officers by the comptroller.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403, Government Code, is amended by adding Section 403.0306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403.0306.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COMMISSIONED PEACE OFFICERS.  The comptroller shall ensure that a security officer or investigator commissioned as a peace officer by the comptroller is compensated according to Schedule C of the position classification salary schedule prescribed by the General Appropriations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661.918(a),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to a peace officer under Article 2.12, Code of Criminal Procedure, who is commissioned as a law enforcement officer or agent, including a ranger,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Public Safety Commission and the director of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Parks and Wildlife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Alcoholic Beverage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attorney general;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insurance fraud unit of the Texas Department of Insurance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The classification officer in the office of the state auditor shall classify the position of security officer or investigator commissioned as a peace officer by the comptroller as a Schedule C position under the Texas Position Classification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 made by the classification officer as required by this section applies beginning with the state fiscal biennium beginning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661.918(a), Government Code, as amended by this Act, applies only to an injury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