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Finance;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17, Nays 0;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1237</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compensation and leave for certain security officers or investigators commissioned as peace officers by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403.03059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403.03059.</w:t>
      </w:r>
      <w:r>
        <w:rPr>
          <w:u w:val="single"/>
        </w:rPr>
        <w:t xml:space="preserve"> </w:t>
      </w:r>
      <w:r>
        <w:rPr>
          <w:u w:val="single"/>
        </w:rPr>
        <w:t xml:space="preserve"> </w:t>
      </w:r>
      <w:r>
        <w:rPr>
          <w:u w:val="single"/>
        </w:rPr>
        <w:t xml:space="preserve">COMPENSATION FOR COMMISSIONED PEACE OFFICERS.  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comptroller</w:t>
      </w:r>
      <w:r>
        <w:t xml:space="preserv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The classification officer in the office of the state auditor shall classify the position of commissioned peace officer employed by the comptroller of public accounts of the State of Texas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