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88R7303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1239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reimbursement rates for eye health care services providers participating in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In addition to the requirements specified by Subsection (a), a contract described by that subsection must contain a requirement that a managed care organization, including any subcontracted administrator, contractor, vision plan, or other entity the organization contracts with, owns, or otherwise engages to provide or arrange for the provision of eye health care services under a managed care plan, reimburse an eye health care services provider who provides services to a recipient under the organization's managed care plan at a rate that is at least equal to the Medicaid fee-for-service rate for the provision of the same or similar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533.0067, Government Code, is amended to read as follows:</w:t>
      </w:r>
    </w:p>
    <w:p w:rsidR="003F3435" w:rsidRDefault="0032493E">
      <w:pPr>
        <w:spacing w:line="480" w:lineRule="auto"/>
        <w:ind w:firstLine="720"/>
        <w:jc w:val="both"/>
      </w:pPr>
      <w:r>
        <w:t xml:space="preserve">Sec.</w:t>
      </w:r>
      <w:r xml:space="preserve">
        <w:t> </w:t>
      </w:r>
      <w:r>
        <w:t xml:space="preserve">533.0067.</w:t>
      </w:r>
      <w:r xml:space="preserve">
        <w:t> </w:t>
      </w:r>
      <w:r xml:space="preserve">
        <w:t> </w:t>
      </w:r>
      <w:r>
        <w:t xml:space="preserve">EYE HEALTH CARE SERVICE PROVIDERS.  Subject to Section 32.047, Human Resources Code, but notwithstanding any other law, the commission shall require that each managed care organization that contracts with the commission under any Medicaid managed care model or arrangement to provide health care services to recipients in a region include in the organization's provider network each optometrist, therapeutic optometrist, and ophthalmologist described by Section 531.021191(b)(1)(A) or (B) and an institution of higher education described by Section 531.021191(a)(4) in the region who:</w:t>
      </w:r>
    </w:p>
    <w:p w:rsidR="003F3435" w:rsidRDefault="0032493E">
      <w:pPr>
        <w:spacing w:line="480" w:lineRule="auto"/>
        <w:ind w:firstLine="1440"/>
        <w:jc w:val="both"/>
      </w:pPr>
      <w:r>
        <w:t xml:space="preserve">(1)</w:t>
      </w:r>
      <w:r xml:space="preserve">
        <w:t> </w:t>
      </w:r>
      <w:r xml:space="preserve">
        <w:t> </w:t>
      </w:r>
      <w:r>
        <w:t xml:space="preserve">agrees to comply with the terms and conditions of the organization;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agrees to accept the prevailing provider contract rate of the organization;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agrees to abide by the standards of care required by the organization;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an enrolled provider under Medicaid.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533.005(i), Government Code, as added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533.005(i), Government Code, as added by this Act.  To the extent of a conflict between Section 533.005(i), Government Code, as added by this Act,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