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1242</w:t>
      </w:r>
    </w:p>
    <w:p w:rsidR="003F3435" w:rsidRDefault="0032493E">
      <w:pPr>
        <w:ind w:firstLine="720"/>
        <w:jc w:val="both"/>
      </w:pPr>
      <w:r>
        <w:t xml:space="preserve">(Campos)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training for employees and operators of certain child-care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42.0421, Human Resources Code, is amended by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(g), a person who is the director of a day-care center may provide training under this section regardless of whether the commission imposed an administrative penalty under Section 42.078 against the day-care center if the person was not the director of the day-care center at the time the commission imposed the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