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1249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living organ donor education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2, Health and Safety Code, is amended by adding Chapter 54 to read as follows:</w:t>
      </w:r>
    </w:p>
    <w:p w:rsidR="003F3435" w:rsidRDefault="0032493E">
      <w:pPr>
        <w:spacing w:line="480" w:lineRule="auto"/>
        <w:jc w:val="center"/>
      </w:pPr>
      <w:r>
        <w:rPr>
          <w:u w:val="single"/>
        </w:rPr>
        <w:t xml:space="preserve">CHAPTER 54. </w:t>
      </w:r>
      <w:r>
        <w:rPr>
          <w:u w:val="single"/>
        </w:rPr>
        <w:t xml:space="preserve"> </w:t>
      </w:r>
      <w:r>
        <w:rPr>
          <w:u w:val="single"/>
        </w:rPr>
        <w:t xml:space="preserve">LIVING ORGAN DONOR EDUCATION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54.001.</w:t>
      </w:r>
      <w:r>
        <w:rPr>
          <w:u w:val="single"/>
        </w:rPr>
        <w:t xml:space="preserve"> </w:t>
      </w:r>
      <w:r>
        <w:rPr>
          <w:u w:val="single"/>
        </w:rPr>
        <w:t xml:space="preserve"> </w:t>
      </w:r>
      <w:r>
        <w:rPr>
          <w:u w:val="single"/>
        </w:rPr>
        <w:t xml:space="preserve">ESTABLISHMENT OF PROGRAM.  The department shall establish a living organ donor education program to educate residents of this state about: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need for living organ donors, including the particular need for donors from minority populations;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partnership between the Glenda Dawson Donate Life Texas Registry for deceased organ donation, maintained by Donate Life Texas, and other organ donor registries for living organ donation;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requirements for registering as a potential living organ donor;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medical screening and procedures necessary for an individual to be a living organ donor;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availability of information about living organ donation in health care facilities, transplant centers, organ procurement organizations, tissue banks, eye banks, and driver's license offices.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54.002.</w:t>
      </w:r>
      <w:r>
        <w:rPr>
          <w:u w:val="single"/>
        </w:rPr>
        <w:t xml:space="preserve"> </w:t>
      </w:r>
      <w:r>
        <w:rPr>
          <w:u w:val="single"/>
        </w:rPr>
        <w:t xml:space="preserve"> </w:t>
      </w:r>
      <w:r>
        <w:rPr>
          <w:u w:val="single"/>
        </w:rPr>
        <w:t xml:space="preserve">INFORMATIONAL MATERIALS. </w:t>
      </w:r>
      <w:r>
        <w:rPr>
          <w:u w:val="single"/>
        </w:rPr>
        <w:t xml:space="preserve"> </w:t>
      </w:r>
      <w:r>
        <w:rPr>
          <w:u w:val="single"/>
        </w:rPr>
        <w:t xml:space="preserve">(a) </w:t>
      </w:r>
      <w:r>
        <w:rPr>
          <w:u w:val="single"/>
        </w:rPr>
        <w:t xml:space="preserve"> </w:t>
      </w:r>
      <w:r>
        <w:rPr>
          <w:u w:val="single"/>
        </w:rPr>
        <w:t xml:space="preserve">The department, in consultation with Donate Life Texas, shall develop written and electronic informational materials, including links to Internet websites and machine-readable codes,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living organ donation;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process of registering with a living donor registry.</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Donate Life Texas may develop and provide the informational materials described by Subsection (a) to the department.</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and the Department of Public Safety shall post the information described by Subsection (a) on each of the agency's Internet websites.</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Appropriate health care facilities, transplant centers, organ procurement organizations, tissue banks, eye banks, and driver's license offices may access the informational materials described by Subsection (a) on the Internet websites of the department and the Department of Public Safety and print the materials to place in their facilities or offices to provide to residents of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Department of State Health Services shall establish the program and obtain the informational materials as required by Chapter 54,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1249 passed the Senate on April</w:t>
      </w:r>
      <w:r xml:space="preserve">
        <w:t> </w:t>
      </w:r>
      <w:r>
        <w:t xml:space="preserve">6,</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1249 passed the House on May</w:t>
      </w:r>
      <w:r xml:space="preserve">
        <w:t> </w:t>
      </w:r>
      <w:r>
        <w:t xml:space="preserve">6,</w:t>
      </w:r>
      <w:r xml:space="preserve">
        <w:t> </w:t>
      </w:r>
      <w:r>
        <w:t xml:space="preserve">2023, by the following vote:</w:t>
      </w:r>
      <w:r xml:space="preserve">
        <w:t> </w:t>
      </w:r>
      <w:r xml:space="preserve">
        <w:t> </w:t>
      </w:r>
      <w:r>
        <w:t xml:space="preserve">Yeas</w:t>
      </w:r>
      <w:r xml:space="preserve">
        <w:t> </w:t>
      </w:r>
      <w:r>
        <w:t xml:space="preserve">125, Nays</w:t>
      </w:r>
      <w:r xml:space="preserve">
        <w:t> </w:t>
      </w:r>
      <w:r>
        <w:t xml:space="preserve">9,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