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88R9573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1249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living organ donor education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2, Health and Safety Code, is amended by adding Chapter 54 to read as follows:</w:t>
      </w:r>
    </w:p>
    <w:p w:rsidR="003F3435" w:rsidRDefault="0032493E">
      <w:pPr>
        <w:spacing w:line="480" w:lineRule="auto"/>
        <w:jc w:val="center"/>
      </w:pPr>
      <w:r>
        <w:rPr>
          <w:u w:val="single"/>
        </w:rPr>
        <w:t xml:space="preserve">CHAPTER 54. </w:t>
      </w:r>
      <w:r>
        <w:rPr>
          <w:u w:val="single"/>
        </w:rPr>
        <w:t xml:space="preserve"> </w:t>
      </w:r>
      <w:r>
        <w:rPr>
          <w:u w:val="single"/>
        </w:rPr>
        <w:t xml:space="preserve">LIVING ORGAN DONOR EDUCATION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54.001.</w:t>
      </w:r>
      <w:r>
        <w:rPr>
          <w:u w:val="single"/>
        </w:rPr>
        <w:t xml:space="preserve"> </w:t>
      </w:r>
      <w:r>
        <w:rPr>
          <w:u w:val="single"/>
        </w:rPr>
        <w:t xml:space="preserve"> </w:t>
      </w:r>
      <w:r>
        <w:rPr>
          <w:u w:val="single"/>
        </w:rPr>
        <w:t xml:space="preserve">ESTABLISHMENT OF PROGRAM.  (a) </w:t>
      </w:r>
      <w:r>
        <w:rPr>
          <w:u w:val="single"/>
        </w:rPr>
        <w:t xml:space="preserve"> </w:t>
      </w:r>
      <w:r>
        <w:rPr>
          <w:u w:val="single"/>
        </w:rPr>
        <w:t xml:space="preserve">The department shall establish a living organ donor education program to educate residents of this state about: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need for living organ donors, including the particular need for donors from minority populations;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requirements for registering with the National Donate Life Living Donor Registry through Donate Life America as a potential living organ donor;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medical screening and procedures necessary for an individual to be a living organ donor;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availability of information about living organ donation in health care facilities, transplant centers, organ procurement organizations, tissue banks, eye banks, and driver's license offices.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in consultation with Donate Life America, shall develop written and electronic informational materials, including links to Internet websites and machine-readable codes,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living organ donation;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process of registering with the National Donate Life Living Donor Registry.</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Donate Life America may develop and provide the informational materials described by Subsection (b) to the department.</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and the Department of Public Safety shall post the information described by Subsection (b) on each of the agency's Internet websites.</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Appropriate health care facilities, transplant centers, organ procurement organizations, tissue banks, eye banks, and driver's license offices may access the informational materials described by Subsection (b) on the Internet websites of the department and the Department of Public Safety and print the materials to place in their facilities or offices to provide to residents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State Health Services shall establish the program and obtain the informational materials as required by Section 54.001,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