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Bettencourt, Hinojosa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1251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the governing body of a school district to adopt an ad valorem tax rate that exceeds the district's voter-approval tax rate.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26.042, Tax Code, is amended by adding Subsection (e-1)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governing body of a school district may not adopt a tax rate under Subsection (e) for a tax year in which: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governing body previously adopted a tax rate that exceeded the district's voter-approval tax rate;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election was held under Section 26.08 for the purpose of determining whether to approve the district's adopted tax rate;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proposition to approve the district's adopted tax rate was not approved by the voters of the district at the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an ad valorem tax year that begins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1251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