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88R30239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1252</w:t>
      </w:r>
    </w:p>
    <w:p w:rsidR="003F3435" w:rsidRDefault="0032493E">
      <w:pPr>
        <w:ind w:firstLine="720"/>
        <w:jc w:val="both"/>
      </w:pPr>
      <w:r>
        <w:t xml:space="preserve">(Button)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Shine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1252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wording of ballot propositions for bond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52.072, Election Code, is amended by 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proposition described by Subsection (f)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the amount of or maximum tax rate of the tax or tax increase for which approval is sought;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Subdivision (3), be printed in mixed-case typewritten letters;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include, in capital typewritten letters of the same font size as the rest of the proposition, the statement "THIS IS A TAX INCREASE."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1252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