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88R1655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Perry</w:t>
      </w:r>
      <w:r xml:space="preserve">
        <w:tab wTab="150" tlc="none" cTlc="0"/>
      </w:r>
      <w:r>
        <w:t xml:space="preserve">S.B.</w:t>
      </w:r>
      <w:r xml:space="preserve">
        <w:t> </w:t>
      </w:r>
      <w:r>
        <w:t xml:space="preserve">No.</w:t>
      </w:r>
      <w:r xml:space="preserve">
        <w:t> </w:t>
      </w:r>
      <w:r>
        <w:t xml:space="preserve">1255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ad valorem taxation of certain property owned by a charitable organization that is engaged in providing housing and related facilities and services to persons who are at least 62 years of 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 [</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without regard to the residents' ability to pay;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an organization described by Section 11.1802;</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 an organization described by Section 11.1802;</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or</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11, Tax Code, is amended by adding Section 11.1802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11.1802.</w:t>
      </w:r>
      <w:r>
        <w:rPr>
          <w:u w:val="single"/>
        </w:rPr>
        <w:t xml:space="preserve"> </w:t>
      </w:r>
      <w:r>
        <w:rPr>
          <w:u w:val="single"/>
        </w:rPr>
        <w:t xml:space="preserve"> </w:t>
      </w:r>
      <w:r>
        <w:rPr>
          <w:u w:val="single"/>
        </w:rPr>
        <w:t xml:space="preserve">REQUIREMENTS FOR CERTAIN CHARITABLE ORGANIZATIONS PROVIDING HOUSING AND SERVICES TO THE ELDERLY.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 housing and services" means the following provided by a charitable organization to a person 62 years of age or older in financial need: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housing, including as an independent living facility, assisted living facility, or nursing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service designed to meet the unique needs of a person 62 years of age or older,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independent living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assisted living services;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nursing facility services;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social services;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health services, including subsidized health services;</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services provided through a government-sponsored program, including through Medicaid or another federal, state, or local indigent health care program based on financial need;</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educational services;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donations.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 resident revenue" means a charitable organization's total revenue from providing housing and services to residents of a facility operated by the organization who are 62 years of age or older, less all allowances and discounts on residents' accounts,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debts that are in default;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contractual adjustments;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teaching allowances;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policy discounts;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administrative adjustments;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deductions from revenue.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"Very low-income" has the meaning assigned by 12 U.S.C. Section 1701q(k)(8).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qualify as a charitable organization under Section 11.18(d)(13)(B) or (19)(C),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Subsection (c), provide charitable housing and services in an unreimbursed amount that is not less than four percent of the charitable organization's net resident revenue;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located in a county with a population of less than 58,000 in which the entire county or the population of the entire county has been designated a health professionals shortage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operate a housing development restricted to very low-income persons who are 62 years of age or 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charitable organization described by Subsection (b)(1) of this section that qualified for an exemption under Section 11.18(d)(13)(B) or (19)(C) in the preceding tax year and otherwise qualifies for the exemption in the current tax year is entitled to the exemption if the organization demonstrates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reduction in the amount of charitable housing and services prescribed by Subsection (b)(1) is necessary: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maintain financial reserves at a level required by a debt obligation;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prevent the organization from endangering its ability to continue operating;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response to a natural or other disaster;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(e), through unintended miscalculation, the organization failed in the preceding tax year to provide charitable housing and services in the amount prescribed by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 charitable organization that failed to provide charitable housing and services in the preceding tax year in the amount prescribed by Subsection (b)(1) of this section as described by Subsection (c)(2) of this section is entitled to an exemption under Section 11.18(d)(13)(B) or (19)(C) for the current tax year, but not for more than one tax year in each five tax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charitable organization to which Subsection (d) applies is not entitled to an exemption under Section 11.18(d)(13)(B) or (19)(C) in the tax year following the current tax year unless the organization in the current tax year provides charitable housing and services in an amount at least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prescribed by Subsection (b)(1) for the current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for the preceding tax year by which the organization failed to meet the requirement prescribed by Subsection (b)(1).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charitable organization that fails to satisfy the requirements prescribed by Subsection (e) for the current tax year is liable for the amount of the tax, plus penalties and interest, that would have otherwise been imposed for both the preceding and current tax years, calculated as if the taxes were delinquent on February 1 of the tax year following the tax year for which the tax would otherwise have been imposed.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