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88R10440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regional education service centers of committees to evaluate teacher shortages.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 Education Code, is amended by adding Section 8.063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8.063.</w:t>
      </w:r>
      <w:r>
        <w:rPr>
          <w:u w:val="single"/>
        </w:rPr>
        <w:t xml:space="preserve"> </w:t>
      </w:r>
      <w:r>
        <w:rPr>
          <w:u w:val="single"/>
        </w:rPr>
        <w:t xml:space="preserve"> </w:t>
      </w:r>
      <w:r>
        <w:rPr>
          <w:u w:val="single"/>
        </w:rPr>
        <w:t xml:space="preserve">REGIONAL TEACHER SHORTAGES EVALUATION COMMITTEE.  (a) The executive director of each regional education service center shall establish a committee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teacher shortages in the committee's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the need for the center, independently or in collaboration with public schools in the committee's region, to offer an educator preparation program to facilitate the recruitment, preparation, and retention of teachers.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educator preparation program has already been  established in a region served by a regional education service center, the committee established for that region shall evaluate the effectiveness of the educator preparation program and make recommendations for improving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is composed of nine members appointed by the executive director of each regional education service center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members who are superintendents employed by a school district served by the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who are teachers employed by a public school served by the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who are parents of students enrolled in a public school served by the center.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2024, each committee established under Subsection (a) shall submit to the governor, the lieutenant governor, the speaker of the house of representatives, the commissioner, the Senate Education Committee, and the House Public Education Committee a report that includes the committee's findings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November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each executive director of a regional education service center shall appoint the members of the center's regional teacher shortage evaluation committee, as required by Section 8.063,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