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88R9473 PRL-F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Creighton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1259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maximum judgment amount awarded by a justice court in certain civil cases regarding the repair of residential rental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92.0563(e), Property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 justice court may not award a judgment under this section, including an order of repair, that exceeds </w:t>
      </w:r>
      <w:r>
        <w:rPr>
          <w:u w:val="single"/>
        </w:rPr>
        <w:t xml:space="preserve">$20,000</w:t>
      </w:r>
      <w:r>
        <w:t xml:space="preserve"> [</w:t>
      </w:r>
      <w:r>
        <w:rPr>
          <w:strike/>
        </w:rPr>
        <w:t xml:space="preserve">$10,000</w:t>
      </w:r>
      <w:r>
        <w:t xml:space="preserve">], excluding interest and costs of court.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92.0563(e), Property Code, as amended by this Act, applies only to a cause of action that accrues on or after the effective date of this Act. A cause of action that accrues before that date is governed by the law in effect immediately before that date, and that law is continued in effect for that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