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AIRPORT INFRASTRUCTURE OR EQUIPMENT CONTRACTS. </w:t>
      </w:r>
      <w:r>
        <w:rPr>
          <w:u w:val="single"/>
        </w:rPr>
        <w:t xml:space="preserve"> </w:t>
      </w:r>
      <w:r>
        <w:rPr>
          <w:u w:val="single"/>
        </w:rPr>
        <w:t xml:space="preserve">(a) </w:t>
      </w:r>
      <w:r>
        <w:rPr>
          <w:u w:val="single"/>
        </w:rPr>
        <w:t xml:space="preserve"> </w:t>
      </w:r>
      <w:r>
        <w:rPr>
          <w:u w:val="single"/>
        </w:rPr>
        <w:t xml:space="preserve">In this section, "airport infrastructure or equipment contract" means a contract for the acquisition, construction, improvement, or renovation of airport infrastructure or equipment, including a terminal, security system, or passenger boarding bridge, used at an airport or an air navigation facility associated with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a country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identified under Section 182, Trade Act of 1974 (19 U.S.C. Section 2242), as a priority foreign country;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subject to monitoring by the Office of the United States Trade Representative in accordance with Section 306, Trade Act of 1974 (19 U.S.C. Section 2416);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for goods or services entered into by a local government or a person operating an airport on behalf of a local government must contain a written statement by the entity with which the local government or person is contracting verifying that the entity is not an entity described by Subsection (b)(1) or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99</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99</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99-year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99</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99</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99</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