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88R7337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1266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certain offenses committed in a disaster area or an evacuated area.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12.50(b) and (c), Penal Code, are amended to read as follows:</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t xml:space="preserve"> </w:t>
      </w:r>
      <w:r>
        <w:t xml:space="preserve">If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