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88R11951 MCF-D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w:t>
      </w:r>
      <w:r xml:space="preserve">
        <w:tab wTab="150" tlc="none" cTlc="0"/>
      </w:r>
      <w:r>
        <w:t xml:space="preserve">S.B.</w:t>
      </w:r>
      <w:r xml:space="preserve">
        <w:t> </w:t>
      </w:r>
      <w:r>
        <w:t xml:space="preserve">No.</w:t>
      </w:r>
      <w:r xml:space="preserve">
        <w:t> </w:t>
      </w:r>
      <w:r>
        <w:t xml:space="preserve">1279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release on personal bond of certain defendants with a mental illness or an intellectual disability.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Articles 17.032(a) and (b), Code of Criminal Procedure, are amended to read as follows:</w:t>
      </w:r>
    </w:p>
    <w:p w:rsidR="003F3435" w:rsidRDefault="0032493E">
      <w:pPr>
        <w:spacing w:line="480" w:lineRule="auto"/>
        <w:ind w:firstLine="720"/>
        <w:jc w:val="both"/>
      </w:pPr>
      <w:r>
        <w:t xml:space="preserve">(a)</w:t>
      </w:r>
      <w:r xml:space="preserve">
        <w:t> </w:t>
      </w:r>
      <w:r xml:space="preserve">
        <w:t> </w:t>
      </w:r>
      <w:r>
        <w:t xml:space="preserve">In this article, </w:t>
      </w:r>
      <w:r>
        <w:rPr>
          <w:u w:val="single"/>
        </w:rPr>
        <w:t xml:space="preserve">"offense involving violence" has the meaning assigned by Article 17.03</w:t>
      </w:r>
      <w:r>
        <w:t xml:space="preserve"> [</w:t>
      </w:r>
      <w:r>
        <w:rPr>
          <w:strike/>
        </w:rPr>
        <w:t xml:space="preserve">"violent offense" means an offense under the following sections of the Penal Code: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Section 19.02 (murder);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Section 19.03 (capital murder);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Section 20.03 (kidnapping);</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Section 20.04 (aggravated kidnapping);</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Section 21.11 (indecency with a child);</w:t>
      </w:r>
    </w:p>
    <w:p w:rsidR="003F3435" w:rsidRDefault="0032493E">
      <w:pPr>
        <w:spacing w:line="480" w:lineRule="auto"/>
        <w:ind w:firstLine="1440"/>
        <w:jc w:val="both"/>
      </w:pPr>
      <w:r>
        <w:t xml:space="preserve">[</w:t>
      </w:r>
      <w:r>
        <w:rPr>
          <w:strike/>
        </w:rPr>
        <w:t xml:space="preserve">(6)</w:t>
      </w:r>
      <w:r xml:space="preserve">
        <w:rPr>
          <w:strike/>
        </w:rPr>
        <w:t> </w:t>
      </w:r>
      <w:r xml:space="preserve">
        <w:rPr>
          <w:strike/>
        </w:rPr>
        <w:t> </w:t>
      </w:r>
      <w:r>
        <w:rPr>
          <w:strike/>
        </w:rPr>
        <w:t xml:space="preserve">Section 22.01(a)(1) (assault), if the offense involved family violence as defined by Section 71.004, Family Code;</w:t>
      </w:r>
    </w:p>
    <w:p w:rsidR="003F3435" w:rsidRDefault="0032493E">
      <w:pPr>
        <w:spacing w:line="480" w:lineRule="auto"/>
        <w:ind w:firstLine="1440"/>
        <w:jc w:val="both"/>
      </w:pPr>
      <w:r>
        <w:t xml:space="preserve">[</w:t>
      </w:r>
      <w:r>
        <w:rPr>
          <w:strike/>
        </w:rPr>
        <w:t xml:space="preserve">(7)</w:t>
      </w:r>
      <w:r xml:space="preserve">
        <w:rPr>
          <w:strike/>
        </w:rPr>
        <w:t> </w:t>
      </w:r>
      <w:r xml:space="preserve">
        <w:rPr>
          <w:strike/>
        </w:rPr>
        <w:t> </w:t>
      </w:r>
      <w:r>
        <w:rPr>
          <w:strike/>
        </w:rPr>
        <w:t xml:space="preserve">Section 22.011 (sexual assault);</w:t>
      </w:r>
    </w:p>
    <w:p w:rsidR="003F3435" w:rsidRDefault="0032493E">
      <w:pPr>
        <w:spacing w:line="480" w:lineRule="auto"/>
        <w:ind w:firstLine="1440"/>
        <w:jc w:val="both"/>
      </w:pPr>
      <w:r>
        <w:t xml:space="preserve">[</w:t>
      </w:r>
      <w:r>
        <w:rPr>
          <w:strike/>
        </w:rPr>
        <w:t xml:space="preserve">(8)</w:t>
      </w:r>
      <w:r xml:space="preserve">
        <w:rPr>
          <w:strike/>
        </w:rPr>
        <w:t> </w:t>
      </w:r>
      <w:r xml:space="preserve">
        <w:rPr>
          <w:strike/>
        </w:rPr>
        <w:t> </w:t>
      </w:r>
      <w:r>
        <w:rPr>
          <w:strike/>
        </w:rPr>
        <w:t xml:space="preserve">Section 22.02 (aggravated assault);</w:t>
      </w:r>
    </w:p>
    <w:p w:rsidR="003F3435" w:rsidRDefault="0032493E">
      <w:pPr>
        <w:spacing w:line="480" w:lineRule="auto"/>
        <w:ind w:firstLine="1440"/>
        <w:jc w:val="both"/>
      </w:pPr>
      <w:r>
        <w:t xml:space="preserve">[</w:t>
      </w:r>
      <w:r>
        <w:rPr>
          <w:strike/>
        </w:rPr>
        <w:t xml:space="preserve">(9)</w:t>
      </w:r>
      <w:r xml:space="preserve">
        <w:rPr>
          <w:strike/>
        </w:rPr>
        <w:t> </w:t>
      </w:r>
      <w:r xml:space="preserve">
        <w:rPr>
          <w:strike/>
        </w:rPr>
        <w:t> </w:t>
      </w:r>
      <w:r>
        <w:rPr>
          <w:strike/>
        </w:rPr>
        <w:t xml:space="preserve">Section 22.021 (aggravated sexual assault);</w:t>
      </w:r>
    </w:p>
    <w:p w:rsidR="003F3435" w:rsidRDefault="0032493E">
      <w:pPr>
        <w:spacing w:line="480" w:lineRule="auto"/>
        <w:ind w:firstLine="1440"/>
        <w:jc w:val="both"/>
      </w:pPr>
      <w:r>
        <w:t xml:space="preserve">[</w:t>
      </w:r>
      <w:r>
        <w:rPr>
          <w:strike/>
        </w:rPr>
        <w:t xml:space="preserve">(10)</w:t>
      </w:r>
      <w:r xml:space="preserve">
        <w:rPr>
          <w:strike/>
        </w:rPr>
        <w:t> </w:t>
      </w:r>
      <w:r xml:space="preserve">
        <w:rPr>
          <w:strike/>
        </w:rPr>
        <w:t> </w:t>
      </w:r>
      <w:r>
        <w:rPr>
          <w:strike/>
        </w:rPr>
        <w:t xml:space="preserve">Section 22.04 (injury to a child, elderly individual, or disabled individual);</w:t>
      </w:r>
    </w:p>
    <w:p w:rsidR="003F3435" w:rsidRDefault="0032493E">
      <w:pPr>
        <w:spacing w:line="480" w:lineRule="auto"/>
        <w:ind w:firstLine="1440"/>
        <w:jc w:val="both"/>
      </w:pPr>
      <w:r>
        <w:t xml:space="preserve">[</w:t>
      </w:r>
      <w:r>
        <w:rPr>
          <w:strike/>
        </w:rPr>
        <w:t xml:space="preserve">(11)</w:t>
      </w:r>
      <w:r xml:space="preserve">
        <w:rPr>
          <w:strike/>
        </w:rPr>
        <w:t> </w:t>
      </w:r>
      <w:r xml:space="preserve">
        <w:rPr>
          <w:strike/>
        </w:rPr>
        <w:t> </w:t>
      </w:r>
      <w:r>
        <w:rPr>
          <w:strike/>
        </w:rPr>
        <w:t xml:space="preserve">Section 29.03 (aggravated robbery);</w:t>
      </w:r>
    </w:p>
    <w:p w:rsidR="003F3435" w:rsidRDefault="0032493E">
      <w:pPr>
        <w:spacing w:line="480" w:lineRule="auto"/>
        <w:ind w:firstLine="1440"/>
        <w:jc w:val="both"/>
      </w:pPr>
      <w:r>
        <w:t xml:space="preserve">[</w:t>
      </w:r>
      <w:r>
        <w:rPr>
          <w:strike/>
        </w:rPr>
        <w:t xml:space="preserve">(12)</w:t>
      </w:r>
      <w:r xml:space="preserve">
        <w:rPr>
          <w:strike/>
        </w:rPr>
        <w:t> </w:t>
      </w:r>
      <w:r xml:space="preserve">
        <w:rPr>
          <w:strike/>
        </w:rPr>
        <w:t> </w:t>
      </w:r>
      <w:r>
        <w:rPr>
          <w:strike/>
        </w:rPr>
        <w:t xml:space="preserve">Section 21.02 (continuous sexual abuse of young child or disabled individual); or</w:t>
      </w:r>
    </w:p>
    <w:p w:rsidR="003F3435" w:rsidRDefault="0032493E">
      <w:pPr>
        <w:spacing w:line="480" w:lineRule="auto"/>
        <w:ind w:firstLine="1440"/>
        <w:jc w:val="both"/>
      </w:pPr>
      <w:r>
        <w:t xml:space="preserve">[</w:t>
      </w:r>
      <w:r>
        <w:rPr>
          <w:strike/>
        </w:rPr>
        <w:t xml:space="preserve">(13)</w:t>
      </w:r>
      <w:r xml:space="preserve">
        <w:rPr>
          <w:strike/>
        </w:rPr>
        <w:t> </w:t>
      </w:r>
      <w:r xml:space="preserve">
        <w:rPr>
          <w:strike/>
        </w:rPr>
        <w:t> </w:t>
      </w:r>
      <w:r>
        <w:rPr>
          <w:strike/>
        </w:rPr>
        <w:t xml:space="preserve">Section 20A.03 (continuous trafficking of persons)</w:t>
      </w:r>
      <w:r>
        <w:t xml:space="preserve">].</w:t>
      </w:r>
    </w:p>
    <w:p w:rsidR="003F3435" w:rsidRDefault="0032493E">
      <w:pPr>
        <w:spacing w:line="480" w:lineRule="auto"/>
        <w:ind w:firstLine="720"/>
        <w:jc w:val="both"/>
      </w:pPr>
      <w:r>
        <w:t xml:space="preserve">(b)</w:t>
      </w:r>
      <w:r xml:space="preserve">
        <w:t> </w:t>
      </w:r>
      <w:r xml:space="preserve">
        <w:t> </w:t>
      </w:r>
      <w:r>
        <w:t xml:space="preserve">Notwithstanding Article 17.03(b), or a bond schedule adopted or a standing order entered by a judge, a magistrate shall release a defendant on personal bond unless good cause is shown otherwise if:</w:t>
      </w:r>
    </w:p>
    <w:p w:rsidR="003F3435" w:rsidRDefault="0032493E">
      <w:pPr>
        <w:spacing w:line="480" w:lineRule="auto"/>
        <w:ind w:firstLine="1440"/>
        <w:jc w:val="both"/>
      </w:pPr>
      <w:r>
        <w:t xml:space="preserve">(1)</w:t>
      </w:r>
      <w:r xml:space="preserve">
        <w:t> </w:t>
      </w:r>
      <w:r xml:space="preserve">
        <w:t> </w:t>
      </w:r>
      <w:r>
        <w:t xml:space="preserve">the defendant is not charged with and has not been previously convicted of </w:t>
      </w:r>
      <w:r>
        <w:rPr>
          <w:u w:val="single"/>
        </w:rPr>
        <w:t xml:space="preserve">an</w:t>
      </w:r>
      <w:r>
        <w:t xml:space="preserve"> [</w:t>
      </w:r>
      <w:r>
        <w:rPr>
          <w:strike/>
        </w:rPr>
        <w:t xml:space="preserve">a violent</w:t>
      </w:r>
      <w:r>
        <w:t xml:space="preserve">] offense </w:t>
      </w:r>
      <w:r>
        <w:rPr>
          <w:u w:val="single"/>
        </w:rPr>
        <w:t xml:space="preserve">involving violence</w:t>
      </w:r>
      <w:r>
        <w:t xml:space="preserve">;</w:t>
      </w:r>
    </w:p>
    <w:p w:rsidR="003F3435" w:rsidRDefault="0032493E">
      <w:pPr>
        <w:spacing w:line="480" w:lineRule="auto"/>
        <w:ind w:firstLine="1440"/>
        <w:jc w:val="both"/>
      </w:pPr>
      <w:r>
        <w:t xml:space="preserve">(2)</w:t>
      </w:r>
      <w:r xml:space="preserve">
        <w:t> </w:t>
      </w:r>
      <w:r xml:space="preserve">
        <w:t> </w:t>
      </w:r>
      <w:r>
        <w:t xml:space="preserve">the defendant is examined by the service provider that contracts with the jail to provide mental health or intellectual and developmental disability services, the local mental health authority, the local intellectual and developmental disability authority, or another qualified mental health or intellectual and developmental disability expert under Article 16.22;</w:t>
      </w:r>
    </w:p>
    <w:p w:rsidR="003F3435" w:rsidRDefault="0032493E">
      <w:pPr>
        <w:spacing w:line="480" w:lineRule="auto"/>
        <w:ind w:firstLine="1440"/>
        <w:jc w:val="both"/>
      </w:pPr>
      <w:r>
        <w:t xml:space="preserve">(3)</w:t>
      </w:r>
      <w:r xml:space="preserve">
        <w:t> </w:t>
      </w:r>
      <w:r xml:space="preserve">
        <w:t> </w:t>
      </w:r>
      <w:r>
        <w:t xml:space="preserve">the applicable expert, in a written report submitted to the magistrate under Article 16.22:</w:t>
      </w:r>
    </w:p>
    <w:p w:rsidR="003F3435" w:rsidRDefault="0032493E">
      <w:pPr>
        <w:spacing w:line="480" w:lineRule="auto"/>
        <w:ind w:firstLine="2160"/>
        <w:jc w:val="both"/>
      </w:pPr>
      <w:r>
        <w:t xml:space="preserve">(A)</w:t>
      </w:r>
      <w:r xml:space="preserve">
        <w:t> </w:t>
      </w:r>
      <w:r xml:space="preserve">
        <w:t> </w:t>
      </w:r>
      <w:r>
        <w:t xml:space="preserve">concludes that the defendant has a mental illness or is a person with an intellectual disability and is nonetheless competent to stand trial; and</w:t>
      </w:r>
    </w:p>
    <w:p w:rsidR="003F3435" w:rsidRDefault="0032493E">
      <w:pPr>
        <w:spacing w:line="480" w:lineRule="auto"/>
        <w:ind w:firstLine="2160"/>
        <w:jc w:val="both"/>
      </w:pPr>
      <w:r>
        <w:t xml:space="preserve">(B)</w:t>
      </w:r>
      <w:r xml:space="preserve">
        <w:t> </w:t>
      </w:r>
      <w:r xml:space="preserve">
        <w:t> </w:t>
      </w:r>
      <w:r>
        <w:t xml:space="preserve">recommends mental health treatment or intellectual and developmental disability services for the defendant, as applicable;</w:t>
      </w:r>
    </w:p>
    <w:p w:rsidR="003F3435" w:rsidRDefault="0032493E">
      <w:pPr>
        <w:spacing w:line="480" w:lineRule="auto"/>
        <w:ind w:firstLine="1440"/>
        <w:jc w:val="both"/>
      </w:pPr>
      <w:r>
        <w:t xml:space="preserve">(4)</w:t>
      </w:r>
      <w:r xml:space="preserve">
        <w:t> </w:t>
      </w:r>
      <w:r xml:space="preserve">
        <w:t> </w:t>
      </w:r>
      <w:r>
        <w:t xml:space="preserve">the magistrate determines, in consultation with the local mental health authority or local intellectual and developmental disability authority, that appropriate community-based mental health or intellectual and developmental disability services for the defendant are available in accordance with Section 534.053 or 534.103, Health and Safety Code, or through another mental health or intellectual and developmental disability services provider; and</w:t>
      </w:r>
    </w:p>
    <w:p w:rsidR="003F3435" w:rsidRDefault="0032493E">
      <w:pPr>
        <w:spacing w:line="480" w:lineRule="auto"/>
        <w:ind w:firstLine="1440"/>
        <w:jc w:val="both"/>
      </w:pPr>
      <w:r>
        <w:t xml:space="preserve">(5)</w:t>
      </w:r>
      <w:r xml:space="preserve">
        <w:t> </w:t>
      </w:r>
      <w:r xml:space="preserve">
        <w:t> </w:t>
      </w:r>
      <w:r>
        <w:t xml:space="preserve">the magistrate finds, after considering all the circumstances, a pretrial risk assessment, if applicable, and any other credible information provided by the attorney representing the state or the defendant, that release on personal bond would reasonably ensure the defendant's appearance in court as required and the safety of the community and the victim of the alleged offense.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46B.073(c), Code of Criminal Procedure, is amended to read as follows:</w:t>
      </w:r>
    </w:p>
    <w:p w:rsidR="003F3435" w:rsidRDefault="0032493E">
      <w:pPr>
        <w:spacing w:line="480" w:lineRule="auto"/>
        <w:ind w:firstLine="720"/>
        <w:jc w:val="both"/>
      </w:pPr>
      <w:r>
        <w:t xml:space="preserve">(c)</w:t>
      </w:r>
      <w:r xml:space="preserve">
        <w:t> </w:t>
      </w:r>
      <w:r xml:space="preserve">
        <w:t> </w:t>
      </w:r>
      <w:r>
        <w:t xml:space="preserve">If the defendant is charged with an offense </w:t>
      </w:r>
      <w:r>
        <w:rPr>
          <w:u w:val="single"/>
        </w:rPr>
        <w:t xml:space="preserve">involving violence as defined by</w:t>
      </w:r>
      <w:r>
        <w:t xml:space="preserve"> [</w:t>
      </w:r>
      <w:r>
        <w:rPr>
          <w:strike/>
        </w:rPr>
        <w:t xml:space="preserve">listed in</w:t>
      </w:r>
      <w:r>
        <w:t xml:space="preserve">] Article </w:t>
      </w:r>
      <w:r>
        <w:rPr>
          <w:u w:val="single"/>
        </w:rPr>
        <w:t xml:space="preserve">17.03</w:t>
      </w:r>
      <w:r>
        <w:t xml:space="preserve"> [</w:t>
      </w:r>
      <w:r>
        <w:rPr>
          <w:strike/>
        </w:rPr>
        <w:t xml:space="preserve">17.032(a)</w:t>
      </w:r>
      <w:r>
        <w:t xml:space="preserve">] or if the indictment alleges an affirmative finding under Article 42A.054(c) or (d), the court shall enter an order committing the defendant for competency restoration services to a facility designated by the commission.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46B.104, Code of Criminal Procedure, is amended to read as follows:</w:t>
      </w:r>
    </w:p>
    <w:p w:rsidR="003F3435" w:rsidRDefault="0032493E">
      <w:pPr>
        <w:spacing w:line="480" w:lineRule="auto"/>
        <w:ind w:firstLine="720"/>
        <w:jc w:val="both"/>
      </w:pPr>
      <w:r>
        <w:t xml:space="preserve">Art.</w:t>
      </w:r>
      <w:r xml:space="preserve">
        <w:t> </w:t>
      </w:r>
      <w:r>
        <w:t xml:space="preserve">46B.104.</w:t>
      </w:r>
      <w:r xml:space="preserve">
        <w:t> </w:t>
      </w:r>
      <w:r xml:space="preserve">
        <w:t> </w:t>
      </w:r>
      <w:r>
        <w:t xml:space="preserve">CIVIL COMMITMENT PLACEMENT: </w:t>
      </w:r>
      <w:r>
        <w:t xml:space="preserve"> </w:t>
      </w:r>
      <w:r>
        <w:t xml:space="preserve">FINDING OF VIOLENCE. </w:t>
      </w:r>
      <w:r>
        <w:t xml:space="preserve"> </w:t>
      </w:r>
      <w:r>
        <w:t xml:space="preserve">A defendant committed to a facility as a result of proceedings initiated under this chapter shall be committed to the facility designated by the commission if:</w:t>
      </w:r>
    </w:p>
    <w:p w:rsidR="003F3435" w:rsidRDefault="0032493E">
      <w:pPr>
        <w:spacing w:line="480" w:lineRule="auto"/>
        <w:ind w:firstLine="1440"/>
        <w:jc w:val="both"/>
      </w:pPr>
      <w:r>
        <w:t xml:space="preserve">(1)</w:t>
      </w:r>
      <w:r xml:space="preserve">
        <w:t> </w:t>
      </w:r>
      <w:r xml:space="preserve">
        <w:t> </w:t>
      </w:r>
      <w:r>
        <w:t xml:space="preserve">the defendant is charged with an offense </w:t>
      </w:r>
      <w:r>
        <w:rPr>
          <w:u w:val="single"/>
        </w:rPr>
        <w:t xml:space="preserve">involving violence as defined by</w:t>
      </w:r>
      <w:r>
        <w:t xml:space="preserve"> [</w:t>
      </w:r>
      <w:r>
        <w:rPr>
          <w:strike/>
        </w:rPr>
        <w:t xml:space="preserve">listed in</w:t>
      </w:r>
      <w:r>
        <w:t xml:space="preserve">] Article </w:t>
      </w:r>
      <w:r>
        <w:rPr>
          <w:u w:val="single"/>
        </w:rPr>
        <w:t xml:space="preserve">17.03</w:t>
      </w:r>
      <w:r>
        <w:t xml:space="preserve"> [</w:t>
      </w:r>
      <w:r>
        <w:rPr>
          <w:strike/>
        </w:rPr>
        <w:t xml:space="preserve">17.032(a)</w:t>
      </w:r>
      <w:r>
        <w:t xml:space="preserve">]; or</w:t>
      </w:r>
    </w:p>
    <w:p w:rsidR="003F3435" w:rsidRDefault="0032493E">
      <w:pPr>
        <w:spacing w:line="480" w:lineRule="auto"/>
        <w:ind w:firstLine="1440"/>
        <w:jc w:val="both"/>
      </w:pPr>
      <w:r>
        <w:t xml:space="preserve">(2)</w:t>
      </w:r>
      <w:r xml:space="preserve">
        <w:t> </w:t>
      </w:r>
      <w:r xml:space="preserve">
        <w:t> </w:t>
      </w:r>
      <w:r>
        <w:t xml:space="preserve">the indictment charging the offense alleges an affirmative finding under Article 42A.054(c) or (d).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Article 17.032, Code of Criminal Procedure, as amended by this Act, applies only to a person who is arrested on or after the effective date of this Act. </w:t>
      </w:r>
      <w:r>
        <w:t xml:space="preserve"> </w:t>
      </w:r>
      <w:r>
        <w:t xml:space="preserve">A person arrested before the effective date of this Act is governed by the law in effect on the date the person was arrested, and the former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1279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