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prompt payment deadlines for health benefit plan  claims affected by a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843.337,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commissioner may adopt rules to implement Subsection (c), including rules establishing requirements for a request made under Subsection (c)(3)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843.342(h), Insurance Code, is amended to read as follows:</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health maintenance organization's request for an extension due to the substantial interference of the catastrophic event</w:t>
      </w:r>
      <w:r>
        <w:t xml:space="preserve"> [</w:t>
      </w:r>
      <w:r>
        <w:rPr>
          <w:strike/>
        </w:rPr>
        <w:t xml:space="preserve">that substantially interferes</w:t>
      </w:r>
      <w:r>
        <w:t xml:space="preserve">]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1301.102, Insurance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health care provider's request for an extension due to a catastrophic event that substantially interferes with the normal business operations of the physician or provider</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1301.137(h), Insurance Code, is amended to read as follows:</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insurer's request for an extension due to the substantial interference of the catastrophic event</w:t>
      </w:r>
      <w:r>
        <w:t xml:space="preserve"> [</w:t>
      </w:r>
      <w:r>
        <w:rPr>
          <w:strike/>
        </w:rPr>
        <w:t xml:space="preserve">that substantially interferes</w:t>
      </w:r>
      <w:r>
        <w:t xml:space="preserve">]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claim submitted on or after the effective date of this Act.  A claim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