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1289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2023; March</w:t>
      </w:r>
      <w:r xml:space="preserve">
        <w:t> </w:t>
      </w:r>
      <w:r>
        <w:t xml:space="preserve">9,</w:t>
      </w:r>
      <w:r xml:space="preserve">
        <w:t> </w:t>
      </w:r>
      <w:r>
        <w:t xml:space="preserve">2023, read first time and referred to Committee on Water, Agriculture &amp; Rural Affairs;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1289</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disposal of reclaimed wastewater.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26.02715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26.02715.</w:t>
      </w:r>
      <w:r>
        <w:rPr>
          <w:u w:val="single"/>
        </w:rPr>
        <w:t xml:space="preserve"> </w:t>
      </w:r>
      <w:r>
        <w:rPr>
          <w:u w:val="single"/>
        </w:rPr>
        <w:t xml:space="preserve"> </w:t>
      </w:r>
      <w:r>
        <w:rPr>
          <w:u w:val="single"/>
        </w:rPr>
        <w:t xml:space="preserve">DISPOSAL OF RECLAIMED WASTEWATER TO WASTEWATER COLLECTION SYSTEM.  (a)  A wastewater treatment facility or reclaimed water production facility that treats domestic wastewater for reuse may dispose of the treated wastewater without a permit for an alternative means of disposal if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disposes of the treated wastewater through a wastewater collection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consent of the operator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wastewater collection system that will receive the treated wastewater;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wastewater treatment facility that will further treat the treated wastewater.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 reclaimed water production facility that meets the requirements of Subsection (a) may not be required to be the owner of an associated domestic wastewater treatment facility that is permitted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to implement and enforce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Environmental Quality shall adopt the rules required by Section 26.02715, Water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