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of the effects of the installation, operation, removal, and disposal of solar, wind turbine, and energy storage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Act,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EFFECTS OF INSTALLATION, OPERATION, REMOVAL, AND DISPOSAL OF CERTAIN EQUIPMENT.  (a)  The commission shall conduct a study on the current and potential effects of the installation, operation, removal, and disposal of solar, wind turbine, and energy storage equipment on the environment and watersheds.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 under this section, the commission shall consult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 of Agriculture;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A&amp;M Forest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A&amp;M AgriLife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A&amp;M Engineering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groundwater conservation districts;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river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enter into a memorandum of understanding with a university or foundation to assist with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December 1, 2024, the commission shall submit to the governor, lieutenant governor, and speaker of the house of representatives a report that includes the findings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