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1290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of the effects of the installation, operation, removal, and disposal of solar, wind turbine, and energy storage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Act,</w:t>
      </w:r>
      <w:r xml:space="preserve">
        <w:t> </w:t>
      </w:r>
      <w:r>
        <w:t xml:space="preserve">"commission" means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 ON EFFECTS OF INSTALLATION, OPERATION, REMOVAL, AND DISPOSAL OF CERTAIN EQUIPMENT.  (a)  The commission shall conduct a study on the current and potential effects of the installation, operation, removal, and disposal of solar, wind turbine, and energy storage equipment on the environment and watersheds.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conducting the study under this section, the commission shall consult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Department of Agriculture;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A&amp;M Forest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A&amp;M AgriLife Extension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Texas A&amp;M Engineering Extension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groundwater conservation districts;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river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enter into a memorandum of understanding with a university or foundation to assist with the study.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Not later than December 1, 2024, the commission shall submit to the governor, lieutenant governor, and speaker of the house of representatives a report that includes the findings of the study conducted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This Act expires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</w:t>
      </w:r>
      <w:r>
        <w:t xml:space="preserve"> </w:t>
      </w:r>
      <w:r>
        <w:t xml:space="preserve"> 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1290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1290 passed the House on May</w:t>
      </w:r>
      <w:r xml:space="preserve">
        <w:t> </w:t>
      </w:r>
      <w:r>
        <w:t xml:space="preserve">24,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132, Nays</w:t>
      </w:r>
      <w:r xml:space="preserve">
        <w:t> </w:t>
      </w:r>
      <w:r>
        <w:t xml:space="preserve">6, one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