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Perry, 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Water, Agriculture &amp; Rural Affairs;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1290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study of the effects of the installation, operation, removal, and disposal of solar, wind turbine, and energy storage equipment.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Act,</w:t>
      </w:r>
      <w:r xml:space="preserve">
        <w:t> </w:t>
      </w:r>
      <w:r>
        <w:t xml:space="preserve">"commission" means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ON EFFECTS OF INSTALLATION, OPERATION, REMOVAL, AND DISPOSAL OF CERTAIN EQUIPMENT.  (a)  The commission shall conduct a study on the current and potential effects of the installation, operation, removal, and disposal of solar, wind turbine, and energy storage equipment on the environment and watersheds.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study under this section, the commission shall consult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Department of Agriculture;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Texas A&amp;M Forest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Texas A&amp;M AgriLife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A&amp;M Engineering Extension Service;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groundwater conservation districts;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river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enter into a memorandum of understanding with a university or foundation to assist with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December 1, 2024, the commission shall submit to the governor, lieutenant governor, and speaker of the house of representatives a report that includes the findings of the study conducted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</w:t>
      </w:r>
      <w:r xml:space="preserve">
        <w:t> </w:t>
      </w:r>
      <w:r xml:space="preserve">
        <w:t> </w:t>
      </w:r>
      <w:r>
        <w:t xml:space="preserve">This Act expires January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</w:t>
      </w:r>
      <w:r>
        <w:t xml:space="preserve"> </w:t>
      </w:r>
      <w:r>
        <w:t xml:space="preserve"> 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1290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