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88R7171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1296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approval of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37.056, Utilities Code, is amended by amending Subsection (d) and adding Subsection (d-1) to read as follows:</w:t>
      </w:r>
    </w:p>
    <w:p w:rsidR="003F3435" w:rsidRDefault="0032493E">
      <w:pPr>
        <w:spacing w:line="480" w:lineRule="auto"/>
        <w:ind w:firstLine="720"/>
        <w:jc w:val="both"/>
      </w:pPr>
      <w:r>
        <w:t xml:space="preserve">(d)</w:t>
      </w:r>
      <w:r xml:space="preserve">
        <w:t> </w:t>
      </w:r>
      <w:r xml:space="preserve">
        <w:t> </w:t>
      </w:r>
      <w:r>
        <w:t xml:space="preserve">The commission by rule shall establish criteria, in addition to the criteria described by Subsection (c), for granting a certificate for a transmission project that serves the ERCOT power region, that is not necessary to meet state or federal reliability standards, and that is not included in a plan developed under Section 39.904(g). </w:t>
      </w:r>
      <w:r>
        <w:t xml:space="preserve"> </w:t>
      </w:r>
      <w:r>
        <w:t xml:space="preserve">[</w:t>
      </w:r>
      <w:r>
        <w:rPr>
          <w:strike/>
        </w:rPr>
        <w:t xml:space="preserve">The criteria must include a comparison of the estimated cost of the transmission project for consumers and the estimated congestion cost savings for consumers that may result from the transmission project, considering both current and future expected congestion levels and the transmission project's ability to reduce those congestion levels.</w:t>
      </w:r>
      <w:r>
        <w:t xml:space="preserve">] The commission shall include with its decision on an application for a certificate to which this subsection applies findings on the criteria. </w:t>
      </w:r>
      <w:r>
        <w:rPr>
          <w:u w:val="single"/>
        </w:rPr>
        <w:t xml:space="preserve">The criteria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comparison of the estimated cost of the transmission project to consumers and the estimated congestion cost savings for consumers that may result from the project, considering both current and expected congestion levels and the project's ability to reduce those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other benefits of the transmission project, including deferral of reliability upgrade costs, reduction of transmission system losses, and reduction of operating reserve costs;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solutions to relieve generic transmission constraints;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potential for increasing transmission system reliability, resiliency, and operational flexibility;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potential for minimizing outage moratoria and transmission system congestion by employing planning criteria that include contingencies for a planned outage followed by an unplanned outage under peak conditions;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operational benefits and reduced impacts on affected landowners of constructing new transmission lines operating below 345 kilovolts as double circuit capable lines;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evaluate: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costs of the transmission project on a levelized basis over the life of the project;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benefits of the transmission project on a levelized basis over the life of the project or the longest period determined to be reasonable by the commission;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high growth areas and areas experiencing rapid growth in power demand, including coastal port areas, oil and gas producing and processing areas, and the Lower Rio Grande Valley: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consider loads under signed interconnection agreements with the transmission service provider and the transmission service provider's forecast of high confidence load that is not under a signed interconnection agreement;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prioritize the addition of load serving capability onto the transmission system in order to serve load growth in a timely fashion.</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For a transmission project described by Subsection (d), the commission shall require all new transmission lines operating at 345 kilovolts to be constructed as double circuit capable lines unless the electric utility requests an exception.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181st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