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1305</w:t>
      </w:r>
    </w:p>
    <w:p w:rsidR="003F3435" w:rsidRDefault="0032493E">
      <w:pPr>
        <w:ind w:firstLine="720"/>
        <w:jc w:val="both"/>
      </w:pPr>
      <w:r>
        <w:t xml:space="preserve">(Clardy)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the ownership rights of the City of Nacogdoches in the Central Heights Water System to the Angelina and Neches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"Authority" means the Angelina and Neches River Authority.</w:t>
      </w:r>
    </w:p>
    <w:p w:rsidR="003F3435" w:rsidRDefault="0032493E">
      <w:pPr>
        <w:spacing w:line="480" w:lineRule="auto"/>
        <w:ind w:firstLine="1440"/>
        <w:jc w:val="both"/>
      </w:pPr>
      <w:r>
        <w:t xml:space="preserve">(2)</w:t>
      </w:r>
      <w:r xml:space="preserve">
        <w:t> </w:t>
      </w:r>
      <w:r xml:space="preserve">
        <w:t> </w:t>
      </w:r>
      <w:r>
        <w:t xml:space="preserve">"City" means the City of Nacogdoches.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TRANSFER OF WATER SYSTEM.  (a) </w:t>
      </w:r>
      <w:r>
        <w:t xml:space="preserve"> </w:t>
      </w:r>
      <w:r>
        <w:t xml:space="preserve">Notwithstanding Section 1502.055, Government Code, not later than 180 days from the effective date of this Act, the city shall enter into a contract with the authority to transfer the city's ownership interests in the Central Heights Water System that is north of the intersection of U.S. Highway 59 and U.S. Highway 259 to the authority, including the assets and service area portion of the city's water system.</w:t>
      </w:r>
    </w:p>
    <w:p w:rsidR="003F3435" w:rsidRDefault="0032493E">
      <w:pPr>
        <w:spacing w:line="480" w:lineRule="auto"/>
        <w:ind w:firstLine="720"/>
        <w:jc w:val="both"/>
      </w:pPr>
      <w:r>
        <w:t xml:space="preserve">(b)</w:t>
      </w:r>
      <w:r xml:space="preserve">
        <w:t> </w:t>
      </w:r>
      <w:r xml:space="preserve">
        <w:t> </w:t>
      </w:r>
      <w:r>
        <w:t xml:space="preserve">On the date of execution of the contract under Subsection (a):</w:t>
      </w:r>
    </w:p>
    <w:p w:rsidR="003F3435" w:rsidRDefault="0032493E">
      <w:pPr>
        <w:spacing w:line="480" w:lineRule="auto"/>
        <w:ind w:firstLine="1440"/>
        <w:jc w:val="both"/>
      </w:pPr>
      <w:r>
        <w:t xml:space="preserve">(1)</w:t>
      </w:r>
      <w:r xml:space="preserve">
        <w:t> </w:t>
      </w:r>
      <w:r xml:space="preserve">
        <w:t> </w:t>
      </w:r>
      <w:r>
        <w:t xml:space="preserve">the geographic territory of the Central Heights Water System shall be incorporated into the authority's certificate of convenience and necessity; and</w:t>
      </w:r>
    </w:p>
    <w:p w:rsidR="003F3435" w:rsidRDefault="0032493E">
      <w:pPr>
        <w:spacing w:line="480" w:lineRule="auto"/>
        <w:ind w:firstLine="1440"/>
        <w:jc w:val="both"/>
      </w:pPr>
      <w:r>
        <w:t xml:space="preserve">(2)</w:t>
      </w:r>
      <w:r xml:space="preserve">
        <w:t> </w:t>
      </w:r>
      <w:r xml:space="preserve">
        <w:t> </w:t>
      </w:r>
      <w:r>
        <w:t xml:space="preserve">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3F3435" w:rsidRDefault="0032493E">
      <w:pPr>
        <w:spacing w:line="480" w:lineRule="auto"/>
        <w:ind w:firstLine="720"/>
        <w:jc w:val="both"/>
      </w:pPr>
      <w:r>
        <w:t xml:space="preserve">(c)</w:t>
      </w:r>
      <w:r xml:space="preserve">
        <w:t> </w:t>
      </w:r>
      <w:r xml:space="preserve">
        <w:t> </w:t>
      </w:r>
      <w:r>
        <w:t xml:space="preserve">Following the transfer under Subsection (b), the governing body of the city shall notify the Texas Commission on Environmental Quality of the transfer of the Central Heights Water System to the authority.</w:t>
      </w:r>
    </w:p>
    <w:p w:rsidR="003F3435" w:rsidRDefault="0032493E">
      <w:pPr>
        <w:spacing w:line="480" w:lineRule="auto"/>
        <w:ind w:firstLine="720"/>
        <w:jc w:val="both"/>
      </w:pPr>
      <w:r>
        <w:t xml:space="preserve">(d)</w:t>
      </w:r>
      <w:r xml:space="preserve">
        <w:t> </w:t>
      </w:r>
      <w:r xml:space="preserve">
        <w:t> </w:t>
      </w:r>
      <w:r>
        <w:t xml:space="preserve">On receipt of notice under Subsection (c), the Texas Commission on Environmental Quality shall note the transfer of the Central Heights Water System to the authority in its records. A person, party, or entity does not have any right of protest, objection, or administrative review of the transfer described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