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88R12151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1311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Transportation Electrification Council and the duties of that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4, Government Code, is amended by adding Chapter 490J to read as follows:</w:t>
      </w:r>
    </w:p>
    <w:p w:rsidR="003F3435" w:rsidRDefault="0032493E">
      <w:pPr>
        <w:spacing w:line="480" w:lineRule="auto"/>
        <w:jc w:val="center"/>
      </w:pPr>
      <w:r>
        <w:rPr>
          <w:u w:val="single"/>
        </w:rPr>
        <w:t xml:space="preserve">CHAPTER 490J.  TEXAS TRANSPORTATION ELECTRIFICATION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490J.001.</w:t>
      </w:r>
      <w:r>
        <w:rPr>
          <w:u w:val="single"/>
        </w:rPr>
        <w:t xml:space="preserve"> </w:t>
      </w:r>
      <w:r>
        <w:rPr>
          <w:u w:val="single"/>
        </w:rPr>
        <w:t xml:space="preserve"> </w:t>
      </w:r>
      <w:r>
        <w:rPr>
          <w:u w:val="single"/>
        </w:rPr>
        <w:t xml:space="preserve">DEFINITION.  In this chapter, "council" means the Texas Transportation Electrification Council established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490J.002.</w:t>
      </w:r>
      <w:r>
        <w:rPr>
          <w:u w:val="single"/>
        </w:rPr>
        <w:t xml:space="preserve"> </w:t>
      </w:r>
      <w:r>
        <w:rPr>
          <w:u w:val="single"/>
        </w:rPr>
        <w:t xml:space="preserve"> </w:t>
      </w:r>
      <w:r>
        <w:rPr>
          <w:u w:val="single"/>
        </w:rPr>
        <w:t xml:space="preserve">ESTABLISHMENT; COMPOSITION.  (a)  The Texas Transportation Electrification Council is established.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 the chair of, or if not applicable, the administrative head of or a senior-level designee from, each of the following entities: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 Utility Commission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Electric Reliability Council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Commission on Environmental Quality;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 Energy Conservation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Department of Licensing and Regulation;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Department of Transportation;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Department of Motor Vehicles;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Texas State Affordable Housing Corporation;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Texas Division of Emergency Management;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Texas Economic Development and Tourism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490J.003.</w:t>
      </w:r>
      <w:r>
        <w:rPr>
          <w:u w:val="single"/>
        </w:rPr>
        <w:t xml:space="preserve"> </w:t>
      </w:r>
      <w:r>
        <w:rPr>
          <w:u w:val="single"/>
        </w:rPr>
        <w:t xml:space="preserve"> </w:t>
      </w:r>
      <w:r>
        <w:rPr>
          <w:u w:val="single"/>
        </w:rPr>
        <w:t xml:space="preserve">PRESIDING OFFICER; MEETINGS.  (a)  The council annually shall elect one member to serve as the presiding officer of the council.</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executive director of the Texas Department of Transportation shall serve as the initial presiding officer of the council.  This subsection expires September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hold at least four public meetings each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490J.004.</w:t>
      </w:r>
      <w:r>
        <w:rPr>
          <w:u w:val="single"/>
        </w:rPr>
        <w:t xml:space="preserve"> </w:t>
      </w:r>
      <w:r>
        <w:rPr>
          <w:u w:val="single"/>
        </w:rPr>
        <w:t xml:space="preserve"> </w:t>
      </w:r>
      <w:r>
        <w:rPr>
          <w:u w:val="single"/>
        </w:rPr>
        <w:t xml:space="preserve">ADMINISTRATIVE ATTACHMENT; FUNDING.  (a)  The council is administratively attached to the Texas Department of Transportation.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be funded using existing funds of the Texas Department of Transportation.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490J.0045.</w:t>
      </w:r>
      <w:r>
        <w:rPr>
          <w:u w:val="single"/>
        </w:rPr>
        <w:t xml:space="preserve"> </w:t>
      </w:r>
      <w:r>
        <w:rPr>
          <w:u w:val="single"/>
        </w:rPr>
        <w:t xml:space="preserve"> </w:t>
      </w:r>
      <w:r>
        <w:rPr>
          <w:u w:val="single"/>
        </w:rPr>
        <w:t xml:space="preserve">ELECTRIC VEHICLE CHARGING INFRASTRUCTURE ASSESSMENT.  (a)  Not later than March 1, 2024, the council shall prepare an assessment of existing and planned public electric vehicle charging infrastructure and associated technologies in this state using existing databases.  The assessment must include the number and types of electric vehicle chargers at each location.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use the assessment in developing the plan required by Section 490J.005.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490J.005.</w:t>
      </w:r>
      <w:r>
        <w:rPr>
          <w:u w:val="single"/>
        </w:rPr>
        <w:t xml:space="preserve"> </w:t>
      </w:r>
      <w:r>
        <w:rPr>
          <w:u w:val="single"/>
        </w:rPr>
        <w:t xml:space="preserve"> </w:t>
      </w:r>
      <w:r>
        <w:rPr>
          <w:u w:val="single"/>
        </w:rPr>
        <w:t xml:space="preserve">ELECTRIC VEHICLE CHARGING INFRASTRUCTURE PLAN.  (a)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 comprehensive plan for the development of public electric vehicle charging infrastructure and associated technologies in this state through the year 2040;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the plan biennially.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phased implementation of the plan, in biennial increments, through the year 2040;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areas in this state for which additional public electric vehicle charging infrastructure is needed to ensure that the vehicle choice of residents of this state is not constrained by a lack of access to adequate public electric vehicle charging infrastructure;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sufficient public electric vehicle charging infrastructure to meet and enable future demand for electric vehicles in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ensures that adequate public electric vehicle charging infrastructure is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 sufficient frequency and capacity to enable users of electric vehicles of various classes to travel border to border and community to community on interstate highways and other major roadways in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along evacuation routes;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 rural communities, multifamily and underserved communities, town centers, commercial and retail areas, parks and other publicly owned lands, and other areas that are in proximity to where local electric vehicle users live or 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safe, dependable, serviceable, and operational;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maximizes the benefits associated with transportation electrification;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enhances commerce by ensuring an adequate distribution of public electric vehicle charging infrastructure is available throughout the state to stimulate lower cost and lower emissions from heavy duty trucking and delivery services;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ensures adequate public electric vehicle charging capacity to facilitate commerce: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or near the borders of this state;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or near airports, rail yards, and seaports;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at warehouse complexes and truck stops;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enhances accessibility of tourist areas to electric vehicle users;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covers any other areas identified by the council;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stimulate competition, innovation, and consumer choice in public electric vehicle charging and related infrastructure and services and encourage private capital investment;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specify the number and types of electric vehicle chargers per general location that are needed to meet the requirements prescribed by Subdivisions (2), (3), and (4);</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examine vehicle and charging infrastructure changes necessary to provide demand response functions and two-way electricity flow capability in order to allow vehicle-to-grid integration for cost savings, grid reliability, and resiliency;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for electric transportation corridors in and along Texas Department of Transportation rights-of-way that include the infrastructure needed for vehicle electrification,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advanced sensor networks for traffic;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intelligent transportation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connected vehicle applications;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improvements to energy infrastructure needed to provide adequate vehicle charging.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updating the plan, the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use, to the extent practicable, publicly available electric vehicle projections and models based on industry standards to determine, for each year, the percentage and number of electric vehicles by vehicle class that are expected on roadways in this state and the number of electric vehicle chargers that are needed to ensure that there is comprehensive and adequate access to public electric vehicle charging infrastructure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rely on scenarios provided by the Electric Reliability Council of Texas or other information from appropriate sources for the percentage and number of electric vehicles by vehicle class on roadways in this state by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490J.0055.</w:t>
      </w:r>
      <w:r>
        <w:rPr>
          <w:u w:val="single"/>
        </w:rPr>
        <w:t xml:space="preserve"> </w:t>
      </w:r>
      <w:r>
        <w:rPr>
          <w:u w:val="single"/>
        </w:rPr>
        <w:t xml:space="preserve"> </w:t>
      </w:r>
      <w:r>
        <w:rPr>
          <w:u w:val="single"/>
        </w:rPr>
        <w:t xml:space="preserve">STUDY ON ALTERNATIVELY FUELED VEHICLE MILEAGE PROGRAM.  (a)  The council shall conduct a study on the feasibility of implementing a program that imposes an additional fee at the time of registration of an alternatively fueled vehicle based on the annual mileage traveled by the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study must contain an analysis of the economic impacts of alternatively fueled vehicles on the state highway fund, including an assessment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alternatively fueled vehicles registered in the state, including future projections on the number of those vehicles;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revenue lost from taxes imposed under Chapter 162, Tax Code, that an operator of an alternatively fueled vehicle registered in this state would have paid if the vehicle operated solely on gasoline or diesel fuel;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and method for calculating the additional fee described by Subsection (a), the estimated revenue collected from the fee, and the impact of inflation on the fee.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2024,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prepare a written report that includes a summary of the results of the study conducted under this section and any legislative recommendations based on the study;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report prepared under Subdivision (1) in the initial report submitted under Section 490J.0085.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490J.006.</w:t>
      </w:r>
      <w:r>
        <w:rPr>
          <w:u w:val="single"/>
        </w:rPr>
        <w:t xml:space="preserve"> </w:t>
      </w:r>
      <w:r>
        <w:rPr>
          <w:u w:val="single"/>
        </w:rPr>
        <w:t xml:space="preserve"> </w:t>
      </w:r>
      <w:r>
        <w:rPr>
          <w:u w:val="single"/>
        </w:rPr>
        <w:t xml:space="preserve">STATE AGENCY POLICY RECOMMENDATIONS.  The council shall develop policy recommendations that state agencies may adopt to encourage the development of an adequate network of public electric vehicle charging infrastructure and associated technologies to meet the future electrified transportation needs in this state through the year 2040.</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490J.007.</w:t>
      </w:r>
      <w:r>
        <w:rPr>
          <w:u w:val="single"/>
        </w:rPr>
        <w:t xml:space="preserve"> </w:t>
      </w:r>
      <w:r>
        <w:rPr>
          <w:u w:val="single"/>
        </w:rPr>
        <w:t xml:space="preserve"> </w:t>
      </w:r>
      <w:r>
        <w:rPr>
          <w:u w:val="single"/>
        </w:rPr>
        <w:t xml:space="preserve">STAKEHOLDER INPUT.  In performing the council's duties under this chapter, the council shall seek advice and input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privately owned electric utilities;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municipally owned electric utilities;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electric cooperatives;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and local transportation and transit agencies;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port authorities;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warehousing and logistics centers;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electric vehicle charging infrastructure companies;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environmental groups;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consumer advocates;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motor vehicle manufacturers;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nonprofit organizations developing electric vehicle policy;</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nonprofit organizations representing food or motor fuel providers;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apartment associations;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low-income community development corporations;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nonprofit organizations that represent utilities, electric vehicle manufacturers, and charging companies;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interested members of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490J.008.</w:t>
      </w:r>
      <w:r>
        <w:rPr>
          <w:u w:val="single"/>
        </w:rPr>
        <w:t xml:space="preserve"> </w:t>
      </w:r>
      <w:r>
        <w:rPr>
          <w:u w:val="single"/>
        </w:rPr>
        <w:t xml:space="preserve"> </w:t>
      </w:r>
      <w:r>
        <w:rPr>
          <w:u w:val="single"/>
        </w:rPr>
        <w:t xml:space="preserve">AUTHORITY TO CONTRACT AND CONSULT WITH CERTAIN PERSONS.  In performing the council's duties under this chapter, the council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with experts, academic scholars, and other appropriate professionals;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consult with the Texas A&amp;M Transportation Institute and institutions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490J.0085.</w:t>
      </w:r>
      <w:r>
        <w:rPr>
          <w:u w:val="single"/>
        </w:rPr>
        <w:t xml:space="preserve"> </w:t>
      </w:r>
      <w:r>
        <w:rPr>
          <w:u w:val="single"/>
        </w:rPr>
        <w:t xml:space="preserve"> </w:t>
      </w:r>
      <w:r>
        <w:rPr>
          <w:u w:val="single"/>
        </w:rPr>
        <w:t xml:space="preserve">INITIAL REPORT.  (a)  Not later than December 1, 2024, the council shall prepare and submit to the governor, the lieutenant governor, each member of the legislature, and relevant state and federal agencies a written report of the council's findings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assessment prepared under Section 490J.0045;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plan developed under Section 490J.005, including the phased implementation of the plan required by Subsection (b)(1) of that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report prepared under Section 490J.0055;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policy recommendations developed under Section 490J.006.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490J.009.</w:t>
      </w:r>
      <w:r>
        <w:rPr>
          <w:u w:val="single"/>
        </w:rPr>
        <w:t xml:space="preserve"> </w:t>
      </w:r>
      <w:r>
        <w:rPr>
          <w:u w:val="single"/>
        </w:rPr>
        <w:t xml:space="preserve"> </w:t>
      </w:r>
      <w:r>
        <w:rPr>
          <w:u w:val="single"/>
        </w:rPr>
        <w:t xml:space="preserve">BIENNIAL REPORT.  Not later than December 1 of each even-numbered year, the council shall prepare and submit to the governor, the lieutenant governor, each member of the legislature, and relevant state and federal agencies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progress made on the implementation of the plan developed under Section 490J.005;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biennial update to the plan required under Section 490J.005(a)(2);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updates to the policy recommendations developed under Section 490J.006.</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490J.010.</w:t>
      </w:r>
      <w:r>
        <w:rPr>
          <w:u w:val="single"/>
        </w:rPr>
        <w:t xml:space="preserve"> </w:t>
      </w:r>
      <w:r>
        <w:rPr>
          <w:u w:val="single"/>
        </w:rPr>
        <w:t xml:space="preserve"> </w:t>
      </w:r>
      <w:r>
        <w:rPr>
          <w:u w:val="single"/>
        </w:rPr>
        <w:t xml:space="preserve">EXPIRATION. </w:t>
      </w:r>
      <w:r>
        <w:rPr>
          <w:u w:val="single"/>
        </w:rPr>
        <w:t xml:space="preserve"> </w:t>
      </w:r>
      <w:r>
        <w:rPr>
          <w:u w:val="single"/>
        </w:rPr>
        <w:t xml:space="preserve">This chapter expires and the council is abolished January 1, 2033.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Transportation Electrification Council shall submit its first report under Section 490J.009, Government Code, as added by this Act, not later than December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