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88R1848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computer science strategic advisory committee and a grant program for the professional development and training of computer science classroom teachers.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COMPUTER SCIENCE AND TECHNOLOGY APPLICATIONS PROFESSIONAL DEVELOPMENT GRANT PROGRAM.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competitive professional development grant program to encourage teachers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computer science certification;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professional development in coding, computational thinking, cybersecurity, and computer science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money appropriated for the purpose, the commissioner shall make grants to eligible providers that offer: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professional development for classroom teachers to ensure teachers maintain a working knowledge of current computer industry standard tools and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for computer science certification for teachers in accordance with certification requirements adopted by the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receive a grant under this section, a provider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institution of higher education, regional education service center, or school district or partnership of multiple school districts or a nonprofit entity approved by the commissioner that has demonstrated experience in providing professional development through a statewide network;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eligibility standards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eligible provider receiving a grant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training or professional development described by Subsection (c) and establish professional development hubs in each education service center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high-need campuses;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established partnerships with institution of higher education faculty with expertise in cybersecurity, computing, and computer science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partnerships with computer industry professionals.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28.0181.</w:t>
      </w:r>
      <w:r>
        <w:rPr>
          <w:u w:val="single"/>
        </w:rPr>
        <w:t xml:space="preserve"> </w:t>
      </w:r>
      <w:r>
        <w:rPr>
          <w:u w:val="single"/>
        </w:rPr>
        <w:t xml:space="preserve"> </w:t>
      </w:r>
      <w:r>
        <w:rPr>
          <w:u w:val="single"/>
        </w:rPr>
        <w:t xml:space="preserve">COMPUTER SCIENCE STRATEGIC ADVISORY COMMITTEE.  (a) </w:t>
      </w:r>
      <w:r>
        <w:rPr>
          <w:u w:val="single"/>
        </w:rPr>
        <w:t xml:space="preserve"> </w:t>
      </w:r>
      <w:r>
        <w:rPr>
          <w:u w:val="single"/>
        </w:rPr>
        <w:t xml:space="preserve">In this section, "advisory committee" means the computer science strategic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the computer science strategic advisory committee as a permanent advisory committee to the agency to develop and provide recommendations for increasing computer science instruction and participation in public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at least 11 members. The members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chair of the senate committee with primary jurisdiction over primary and secondary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chair of the senate committee with primary jurisdiction over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chair of the house of representatives committee with primary jurisdiction over primary and secondary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chair of the house of representatives committee with primary jurisdiction over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chair of the State Board of Education;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members added by the advisory committee in a manner determined by the committee in the committee's discretion.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appointing members to the advisory committee, the governor, lieutenant governor, and speaker of the house of representatives shall coordinate appointments to ensure that the six individuals appointed to the advisory committee collectively by those officers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educators who teach in a public school and are certified in computer science;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parent or person standing in parental relation to a student enrolled in a public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person employed in the technology industry;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faculty member of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member of the advisory committee as the presiding officer of the advisory committee to serve in that capacity at the pleasure of the governor.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may hold public meetings.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Members of the advisory committee are not entitled to compensation but are entitled to reimbursement for actual and necessary expenses incurred in fulfilling committee duties.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appoint an agency employee to support the advisory committee.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January 1 of each odd-numbered year, the advisory committee shall submit to the governor and the legislature a report that includes recommended changes to state law, including funding proposals and timelines for the implementation of the recommended changes. The report shall include recommendations that are intended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the number of certified computer science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public high schools offering computer science courses;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number of high school students enrolled in computer science courses;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the enrollment of diverse student populations in computer science courses;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expand computer science learning opportunities, including computer programming, computer coding, cybersecurity, and computational thinking, in public schools.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 Chapter 1149 (H.B. 2984), Acts of the 86th Legislature, Regular Session, 2019,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2023, the commissioner of education shall establish the grant program required under Section 21.466, Education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appropriate persons, as provided by Section 28.0181(c), Education Code, as added by this Act, shall appoint members to the computer science strategic advisory committee.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