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88R9872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reporting of certain overdose information and the mapping of overdoses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161.042, Health and Safety Code, is amended by amending Subsections (a) and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physician who attends or treats, or who is requested to attend or treat, an overdose of a controlled substance listed in </w:t>
      </w:r>
      <w:r>
        <w:rPr>
          <w:u w:val="single"/>
        </w:rPr>
        <w:t xml:space="preserve">a penalty group under Subchapter D, Chapter 481</w:t>
      </w:r>
      <w:r>
        <w:t xml:space="preserve"> [</w:t>
      </w:r>
      <w:r>
        <w:rPr>
          <w:strike/>
        </w:rPr>
        <w:t xml:space="preserve">Penalty Group 1 under Section 481.102 or a controlled substance listed in Penalty Group 1-B under Section 481.1022</w:t>
      </w:r>
      <w:r>
        <w:t xml:space="preserve">], or the administrator, superintendent, or other person in charge of a hospital, sanitorium, or other institution in which an overdose of a controlled substance listed in </w:t>
      </w:r>
      <w:r>
        <w:rPr>
          <w:u w:val="single"/>
        </w:rPr>
        <w:t xml:space="preserve">a penalty group under Subchapter D, Chapter 481,</w:t>
      </w:r>
      <w:r>
        <w:t xml:space="preserve"> [</w:t>
      </w:r>
      <w:r>
        <w:rPr>
          <w:strike/>
        </w:rPr>
        <w:t xml:space="preserve">Penalty Group 1 under Section 481.102 or a controlled substance listed in Penalty Group 1-B under Section 481.1022</w:t>
      </w:r>
      <w:r>
        <w:t xml:space="preserve">] is attended or treated or in which the attention or treatment is requested, shall report the case at once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department</w:t>
      </w:r>
      <w:r>
        <w:rPr>
          <w:u w:val="single"/>
        </w:rPr>
        <w:t xml:space="preserve">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law enforcement authority of the municipality or county in which the physician practices or in which the hospital, sanitorium, or other institution is located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physician or other person who reports an overdose of a controlled substance under this section shall include in the report information regarding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date </w:t>
      </w:r>
      <w:r>
        <w:rPr>
          <w:u w:val="single"/>
        </w:rPr>
        <w:t xml:space="preserve">and time</w:t>
      </w:r>
      <w:r>
        <w:t xml:space="preserve"> of the overdose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approximate location of the overdose, using: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address;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latitude and longitude of the location;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location data from a cellular device;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type of controlled substance </w:t>
      </w:r>
      <w:r>
        <w:rPr>
          <w:u w:val="single"/>
        </w:rPr>
        <w:t xml:space="preserve">or substances suspected to have been</w:t>
      </w:r>
      <w:r>
        <w:t xml:space="preserve"> used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sex and approximate age of the person attended or treated for the overdose or for whom treatment was sought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symptoms associated with the overdose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extent of treatment made necessary by the overdose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an opioid antagonist, as defined by Section 483.101, was administered;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 xml:space="preserve">
        <w:t> </w:t>
      </w:r>
      <w:r xml:space="preserve">
        <w:t> </w:t>
      </w:r>
      <w:r>
        <w:t xml:space="preserve">the patient outcome.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 xml:space="preserve">
        <w:t> </w:t>
      </w:r>
      <w:r xml:space="preserve">
        <w:t> </w:t>
      </w:r>
      <w:r>
        <w:t xml:space="preserve">The physician or other person making the report </w:t>
      </w:r>
      <w:r>
        <w:rPr>
          <w:u w:val="single"/>
        </w:rPr>
        <w:t xml:space="preserve">described by Subsection (b)</w:t>
      </w:r>
      <w:r>
        <w:t xml:space="preserve"> may provide other demographic information concerning the person attended or treated or for whom treatment was sought but may not disclose the person's name [</w:t>
      </w:r>
      <w:r>
        <w:rPr>
          <w:strike/>
        </w:rPr>
        <w:t xml:space="preserve">or address</w:t>
      </w:r>
      <w:r>
        <w:t xml:space="preserve">] or any other information concerning the person's identity.  </w:t>
      </w:r>
      <w:r>
        <w:rPr>
          <w:u w:val="single"/>
        </w:rPr>
        <w:t xml:space="preserve">The physician or other person making the report may not disclose the person's address unless the person's address is the approximate location of the overdose.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161, Health and Safety Code, is amended by adding Section 161.045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CONTROLLED SUBSTANCE INFORMATION BY LAW ENFORCEMENT.  (a) A law enforcement authority may use information received from a report under Section 161.042 only for mapping overdose locations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described by Subsection (a) is confidential and not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370, Local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370. MISCELLANEOUS PROVISIONS RELATING TO [</w:t>
      </w:r>
      <w:r>
        <w:rPr>
          <w:strike/>
        </w:rPr>
        <w:t xml:space="preserve">MUNICIPAL AND COUNTY</w:t>
      </w:r>
      <w:r>
        <w:t xml:space="preserve">] HEALTH AND PUBLIC SAFETY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Chapter 370, Local Government Code, is amended by adding Section 370.007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370.007.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PARTICIPATION AGREEMENT FOR OVERDOSE MAPPING.  A political subdivision of the state may enter into a participation agreement with a private entity that maintains a computerized system for mapping overdoses for public safety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161, Health and Safety Code, as amended by this Act, applies only to a report made in response to an overdose that occurs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