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1319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2023; March</w:t>
      </w:r>
      <w:r xml:space="preserve">
        <w:t> </w:t>
      </w:r>
      <w:r>
        <w:t xml:space="preserve">1,</w:t>
      </w:r>
      <w:r xml:space="preserve">
        <w:t> </w:t>
      </w:r>
      <w:r>
        <w:t xml:space="preserve">2023, read first time and referred to Committee on Criminal Justice; March</w:t>
      </w:r>
      <w:r xml:space="preserve">
        <w:t> </w:t>
      </w:r>
      <w:r>
        <w:t xml:space="preserve">9,</w:t>
      </w:r>
      <w:r xml:space="preserve">
        <w:t> </w:t>
      </w:r>
      <w:r>
        <w:t xml:space="preserve">2023, reported adversely, with favorable Committee Substitute by the following vote:</w:t>
      </w:r>
      <w:r>
        <w:t xml:space="preserve"> </w:t>
      </w:r>
      <w:r>
        <w:t xml:space="preserve"> </w:t>
      </w:r>
      <w:r>
        <w:t xml:space="preserve">Yeas 7, Nays 0; March</w:t>
      </w:r>
      <w:r xml:space="preserve">
        <w:t> </w:t>
      </w:r>
      <w:r>
        <w:t xml:space="preserve">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1319</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reporting of certain overdose information and the mapping of overdoses for public safety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161, Health and Safety Code, is amended by adding Section 161.045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161.045.</w:t>
      </w:r>
      <w:r>
        <w:rPr>
          <w:u w:val="single"/>
        </w:rPr>
        <w:t xml:space="preserve"> </w:t>
      </w:r>
      <w:r>
        <w:rPr>
          <w:u w:val="single"/>
        </w:rPr>
        <w:t xml:space="preserve"> </w:t>
      </w:r>
      <w:r>
        <w:rPr>
          <w:u w:val="single"/>
        </w:rPr>
        <w:t xml:space="preserve">MANDATORY REPORTING OF CONTROLLED SUBSTANCE OVERDOSES FOR PUBLIC SAFETY MAPPING.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"Controlled substance" has the meaning assigned by Section 481.002.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"Opioid antagonist" has the meaning assigned by Section 483.101.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law enforcement officer, first responder, or other person who administers emergency services who is employed by a county in which the local health authority or law enforcement agency, as applicable, has entered into a participation agreement for overdose mapping under Section 370.007,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to whom this section applies who responds to an overdose incident shall report information about the incident as soon as possible to the local health authority or law enforcement agency, as applicable, that has entered into the participation agreement under Section 370.007, Local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under this section must include, if possible: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overdose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approximate location of the overdose incident,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address;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latitude and longitude of the location;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location data from a cellular device;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 opioid antagonist was administered, and if so, the number of doses and the type of delivery;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overdose was fatal or nonfatal.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reports information about an overdose incident under this section in good faith is not subject to civil or criminal liability for making the report.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law enforcement agency may use information received from a report under this section only for mapping overdose locations for public safety purposes.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in a report described by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PARTICIPATION AGREEMENT FOR OVERDOSE MAPPING.  (a)  A local health authority or law enforcement agency may enter into a participation agreement with an entity that maintains a computerized system for mapping overdoses for public safety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health authority or law enforcement agency shall provide information received under Section 161.045, Health and Safety Code, to the entity with which the authority or agency has a participation agreement under Subsection (a) for purposes of entering the information into the computerized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