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88R7077 SHH-D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Sparks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1321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regulation of certain transactions involving tubular steel used in the oil and gas industry.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1956.001(10), Occupations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"Regulated metal"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manhole covers;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guardrails;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metal cylinders designed to contain compressed air, oxygen, gases, or liquids;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malt beverage kegs made from metal other than aluminum;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historical markers or cemetery vases, receptacles, or memorials made from metal other than aluminum;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unused rebar;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street signs;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drain gates;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safes;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(J)</w:t>
      </w:r>
      <w:r xml:space="preserve">
        <w:t> </w:t>
      </w:r>
      <w:r xml:space="preserve">
        <w:t> </w:t>
      </w:r>
      <w:r>
        <w:t xml:space="preserve">communication, transmission, and service wire or cable;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(K)</w:t>
      </w:r>
      <w:r xml:space="preserve">
        <w:t> </w:t>
      </w:r>
      <w:r xml:space="preserve">
        <w:t> </w:t>
      </w:r>
      <w:r>
        <w:t xml:space="preserve">condensing or evaporator coils for central heating or air conditioning units;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(L)</w:t>
      </w:r>
      <w:r xml:space="preserve">
        <w:t> </w:t>
      </w:r>
      <w:r xml:space="preserve">
        <w:t> </w:t>
      </w:r>
      <w:r>
        <w:t xml:space="preserve">utility structures, including the fixtures and hardware;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(M)</w:t>
      </w:r>
      <w:r xml:space="preserve">
        <w:t> </w:t>
      </w:r>
      <w:r xml:space="preserve">
        <w:t> </w:t>
      </w:r>
      <w:r>
        <w:t xml:space="preserve">aluminum or stainless steel containers designed to hold propane for fueling forklifts;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(N)</w:t>
      </w:r>
      <w:r xml:space="preserve">
        <w:t> </w:t>
      </w:r>
      <w:r xml:space="preserve">
        <w:t> </w:t>
      </w:r>
      <w:r>
        <w:t xml:space="preserve">metal railroad equipment, including tie plates, signal houses, control boxes, signs, signals, traffic devices, traffic control devices, traffic control signals, switch plates, e-clips, and rail tie functions;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(O)</w:t>
      </w:r>
      <w:r xml:space="preserve">
        <w:t> </w:t>
      </w:r>
      <w:r xml:space="preserve">
        <w:t> </w:t>
      </w:r>
      <w:r>
        <w:t xml:space="preserve">catalytic converters not attached to a vehicle;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(P)</w:t>
      </w:r>
      <w:r xml:space="preserve">
        <w:t> </w:t>
      </w:r>
      <w:r xml:space="preserve">
        <w:t> </w:t>
      </w:r>
      <w:r>
        <w:t xml:space="preserve">fire hydrants;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(Q)</w:t>
      </w:r>
      <w:r xml:space="preserve">
        <w:t> </w:t>
      </w:r>
      <w:r xml:space="preserve">
        <w:t> </w:t>
      </w:r>
      <w:r>
        <w:t xml:space="preserve">metal bleachers or other seating facilities used in recreational areas or sporting arenas;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(R)</w:t>
      </w:r>
      <w:r xml:space="preserve">
        <w:t> </w:t>
      </w:r>
      <w:r xml:space="preserve">
        <w:t> </w:t>
      </w:r>
      <w:r>
        <w:t xml:space="preserve">any metal item clearly and conspicuously marked with any form of the name, initials, or logo of a governmental entity, utility, cemetery, or railroad;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(S)</w:t>
      </w:r>
      <w:r xml:space="preserve">
        <w:t> </w:t>
      </w:r>
      <w:r xml:space="preserve">
        <w:t> </w:t>
      </w:r>
      <w:r>
        <w:t xml:space="preserve">insulated utility, communications, or electrical wire that has been burned in whole or in part to remove the insulation;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(T)</w:t>
      </w:r>
      <w:r xml:space="preserve">
        <w:t> </w:t>
      </w:r>
      <w:r xml:space="preserve">
        <w:t> </w:t>
      </w:r>
      <w:r>
        <w:t xml:space="preserve">backflow valves;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(U)</w:t>
      </w:r>
      <w:r xml:space="preserve">
        <w:t> </w:t>
      </w:r>
      <w:r xml:space="preserve">
        <w:t> </w:t>
      </w:r>
      <w:r>
        <w:t xml:space="preserve">metal in the form of commonly recognized products of the industrial metals recycling process, including bales, briquettes, billets, sows, ingots, pucks, and chopped or shredded metals;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(V)</w:t>
      </w:r>
      <w:r xml:space="preserve">
        <w:t> </w:t>
      </w:r>
      <w:r xml:space="preserve">
        <w:t> </w:t>
      </w:r>
      <w:r>
        <w:t xml:space="preserve">commercial grade lead batteries or lead-acid batteries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(W)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tubular steel used in the oil and gas industry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1956, Occupations Code, is amended by adding Section 1956.0021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1956.0021.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APPLICATION TO CERTAIN TUBULAR STEEL TRANSACTIONS.  The recordkeeping and reporting requirements of this chapter apply to a purchase of tubular steel products that have been used in the oil and gas industry by a person engaged in the business of purchasing and reselling those products to the same extent as a purchase of regulated material by a metal recycling entity.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1321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