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88R10980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"Victim of family violence"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adult member of a family or household who is subjected to an act of family violence;</w:t>
      </w:r>
      <w:r>
        <w:rPr>
          <w:u w:val="single"/>
        </w:rPr>
        <w:t xml:space="preserve"> </w:t>
      </w:r>
      <w:r>
        <w:rPr>
          <w:u w:val="single"/>
        </w:rP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household of the adult described by Paragraph (A), other than the member of the household who commits the act of family violence.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NOTICE TO VICTIMS OF FAMILY VIOLENCE.  (a) The commission by rule shall adopt a written notice to be provided to victims of family violence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of family violence may contact for assistance with safety planning, shelter, and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of family violence,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providing the</w:t>
      </w:r>
      <w:r>
        <w:t xml:space="preserve"> [</w:t>
      </w:r>
      <w:r>
        <w:rPr>
          <w:strike/>
        </w:rPr>
        <w:t xml:space="preserve">giving</w:t>
      </w:r>
      <w:r>
        <w:t xml:space="preserve">] written notice </w:t>
      </w:r>
      <w:r>
        <w:rPr>
          <w:u w:val="single"/>
        </w:rPr>
        <w:t xml:space="preserve">adopted by the Health and Human Services Commission under Section 51A.002, Human Resources Code, in English or Spanish, as appropriate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additional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investigates a family violence allegation or who responds to a disturbance call that may involve family violence shall advise any possible victim of all reasonable means to prevent further family violence, including by providing the written notice adopted by the Health and Human Services Commission under Section 51A.002, Human Resources Code, in English or Spanish, as appropriate.  In addition to the required notice under this subsection, a campus peace officer shall provide to the possible victim any available written information regarding campus and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51A.002,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5.04, Code of Criminal Procedure, as amended by this Act, and Section 51.2825, Education Code, as added by this Act, apply only to a peace officer's or campus peace officer's investigation or response that occurs on or after January 1, 2024. 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