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1327</w:t>
      </w:r>
      <w:r xml:space="preserve">
        <w:tab wTab="150" tlc="none" cTlc="0"/>
      </w:r>
      <w:r>
        <w:t xml:space="preserve">By:</w:t>
      </w:r>
      <w:r xml:space="preserve">
        <w:t> </w:t>
      </w:r>
      <w:r xml:space="preserve">
        <w:t> </w:t>
      </w:r>
      <w:r>
        <w:t xml:space="preserve">LaMantia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authorizing a day-care center to employ an interim director.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42.04201.</w:t>
      </w:r>
      <w:r>
        <w:rPr>
          <w:u w:val="single"/>
        </w:rPr>
        <w:t xml:space="preserve"> </w:t>
      </w:r>
      <w:r>
        <w:rPr>
          <w:u w:val="single"/>
        </w:rPr>
        <w:t xml:space="preserve"> </w:t>
      </w:r>
      <w:r>
        <w:rPr>
          <w:u w:val="single"/>
        </w:rPr>
        <w:t xml:space="preserve">INTERIM DIRECTOR.  (a)  If a candidate to serve as the director of a day-care center operating under an initial license under Section 42.051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w:t>
      </w:r>
      <w:r>
        <w:rPr>
          <w:u w:val="single"/>
        </w:rPr>
        <w:t xml:space="preserve">or an interim director under Section 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w:t>
      </w:r>
      <w:r>
        <w:rPr>
          <w:u w:val="single"/>
        </w:rPr>
        <w:t xml:space="preserve">or an interim director</w:t>
      </w:r>
      <w:r>
        <w:t xml:space="preserve">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