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88R12474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S.B.</w:t>
      </w:r>
      <w:r xml:space="preserve">
        <w:t> </w:t>
      </w:r>
      <w:r>
        <w:t xml:space="preserve">No.</w:t>
      </w:r>
      <w:r xml:space="preserve">
        <w:t> </w:t>
      </w:r>
      <w:r>
        <w:t xml:space="preserve">1329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establishing the Defense and Aerospace Manufacturing Task Force.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481, Government Code, is amended by adding Section 481.00661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481.00661.</w:t>
      </w:r>
      <w:r>
        <w:rPr>
          <w:u w:val="single"/>
        </w:rPr>
        <w:t xml:space="preserve"> </w:t>
      </w:r>
      <w:r>
        <w:rPr>
          <w:u w:val="single"/>
        </w:rPr>
        <w:t xml:space="preserve"> </w:t>
      </w:r>
      <w:r>
        <w:rPr>
          <w:u w:val="single"/>
        </w:rPr>
        <w:t xml:space="preserve">DEFENSE AND AEROSPACE MANUFACTURING TASK FORCE.  (a) </w:t>
      </w:r>
      <w:r>
        <w:rPr>
          <w:u w:val="single"/>
        </w:rPr>
        <w:t xml:space="preserve"> </w:t>
      </w:r>
      <w:r>
        <w:rPr>
          <w:u w:val="single"/>
        </w:rPr>
        <w:t xml:space="preserve">In this section, "task force" means the Defense and Aerospace Manufacturing Task Force.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Defense and Aerospace Manufacturing Task Force is established within the aerospace and aviation office to study and make recommendations for the promotion of defense and aerospace manufacturing and supply chain security in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task force is composed of nine members from the public and private sectors, to be appointed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representative from the Texas Workforce Commission, appointed by the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representative from the Texas Higher Education Coordinating Board, appointed by the governor;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 representative from the Texas Economic Development Council, appointed by the governor;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 representative from the Texas Military Preparedness Commission, appointed by the governor;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one representative from the comptroller's office, appointed by the governor;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one representative from a university receiving federal funds for defense and aerospace manufacturing, appointed by the governor;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three members of the defense and aerospace manufacturing industry, one of whom is appointed by the governor, one of whom is appointed by the lieutenant governor, and one of whom is appointed by the speaker of the house of representatives.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December 1, 2023, the governor shall convene the first meeting of the task force.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task force may obtain advice, information, and studies from qualified outside experts to perform its duties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Task force members may not receive compensation for services but, subject to the availability of funding, may receive reimbursement for actual and necessary expenses incurred while performing task force business.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task force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identify ways to streamline coordination between state and local government regulation and processes;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propose a new economic development incentive to attract the manufacturing and supply chain industry;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make recommendations to improve the effectiveness of current economic development incentives to attract the manufacturing and supply chain industry;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identify ways to bolster supply chains in this state;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make recommendations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align the education-to-workforce pipeline in the defense and aerospace industries;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develop and fund apprenticeships in the defense and aerospace industries.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 later than December 1, 2024, the task force shall prepare and submit a written report addressing the issues under Subsection (g) to the governor, lieutenant governor, speaker of the house of representatives, and members of the legislature.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This section expires September 1, 2025.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governor, lieutenant governor, and speaker of the house of representatives shall appoint members to the Defense and Aerospace Manufacturing Task Force in accordance with Section 481.00661,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