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Finance;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17,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1332</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and restoring historic sites throughout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 in the fund may not be used for any other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annually may request a distribution from the fund in an amount that may not exceed the amount the trust company determines is available for distribution in the applicable year under Subsection (d).  Money distributed from the fund to the commission may be used only for the purpose of maintaining, preserving, rehabilitating, and restoring state historic sites under the control of the commission and for the historic courthouse preservation program under Section 442.0081.  The commission shall allocate at least one-third of each annual distribution from the fund under this subsection for the historic courthouse preservation program.  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historic site under the control of the commission or the historic courthouse preservation program under Section 442.0081.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