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88R4516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construction liability claims concerning public buildings and public 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2272.002(b),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claim for personal injury, survival, or wrongful death;</w:t>
      </w:r>
    </w:p>
    <w:p w:rsidR="003F3435" w:rsidRDefault="0032493E">
      <w:pPr>
        <w:spacing w:line="480" w:lineRule="auto"/>
        <w:ind w:firstLine="1440"/>
        <w:jc w:val="both"/>
      </w:pPr>
      <w:r>
        <w:t xml:space="preserve">(2)</w:t>
      </w:r>
      <w:r xml:space="preserve">
        <w:t> </w:t>
      </w:r>
      <w:r xml:space="preserve">
        <w:t> </w:t>
      </w:r>
      <w:r>
        <w:t xml:space="preserve">a claim involving the construction of residential property covered under Chapter 27, Property Code;</w:t>
      </w:r>
    </w:p>
    <w:p w:rsidR="003F3435" w:rsidRDefault="0032493E">
      <w:pPr>
        <w:spacing w:line="480" w:lineRule="auto"/>
        <w:ind w:firstLine="1440"/>
        <w:jc w:val="both"/>
      </w:pPr>
      <w:r>
        <w:t xml:space="preserve">(3)</w:t>
      </w:r>
      <w:r xml:space="preserve">
        <w:t> </w:t>
      </w:r>
      <w:r xml:space="preserve">
        <w:t> </w:t>
      </w:r>
      <w:r>
        <w:t xml:space="preserve">a contract entered into by the Texas Department of Transportation;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a project that receives money from a state or federal highway fund[</w:t>
      </w:r>
      <w:r>
        <w:rPr>
          <w:strike/>
        </w:rPr>
        <w:t xml:space="preserv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civil works project as defined by Section 2269.351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2272, Government Code, is amended by adding Section 2272.0025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2272.0025.</w:t>
      </w:r>
      <w:r>
        <w:rPr>
          <w:u w:val="single"/>
        </w:rPr>
        <w:t xml:space="preserve"> </w:t>
      </w:r>
      <w:r>
        <w:rPr>
          <w:u w:val="single"/>
        </w:rPr>
        <w:t xml:space="preserve"> </w:t>
      </w:r>
      <w:r>
        <w:rPr>
          <w:u w:val="single"/>
        </w:rPr>
        <w:t xml:space="preserve">WAIVER PROHIBITED.  This chapter may not be waived.  A purported waiver of this chapter in violation of this section is void.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under a contract entered into on or after the effective date of this Act.  A cause of action that accrued before the effective date of this Act or that accrues on or after the effective date of this Act under a contract entered into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