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88R12295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review process for certain delayed birth certificates.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192.025,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registrar may not reject an application under this subchapter based solely on the inclusion of supporting evidence that contains inconsistent or contradictory information if, based on the contents of the application as a whole, the state registrar determines by a preponderance of the evidence the applicant's identity and place of birth.  In making a determination under this subsection, the state registrar shall consider and give weight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supporting evidence that raises a legitimate question as to the applicant's actual place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inclusion of a valid driver's license or personal identification certificate;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inclusion of a verified affidavit by a person with personal knowledge of the applicant's identity.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