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88R10447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Texas Board of Nursing and procedures applicable to complaints against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Texas Board of Nursing consists of </w:t>
      </w:r>
      <w:r>
        <w:rPr>
          <w:u w:val="single"/>
        </w:rPr>
        <w:t xml:space="preserve">15</w:t>
      </w:r>
      <w:r>
        <w:t xml:space="preserve"> [</w:t>
      </w:r>
      <w:r>
        <w:rPr>
          <w:strike/>
        </w:rPr>
        <w:t xml:space="preserve">13</w:t>
      </w:r>
      <w:r>
        <w:t xml:space="preserv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rPr>
          <w:u w:val="single"/>
        </w:rPr>
        <w:t xml:space="preserve">seven</w:t>
      </w:r>
      <w:r xml:space="preserve">
        <w:t> </w:t>
      </w:r>
      <w:r>
        <w:t xml:space="preserve">[</w:t>
      </w:r>
      <w:r>
        <w:rPr>
          <w:strike/>
        </w:rPr>
        <w:t xml:space="preserve">six</w:t>
      </w:r>
      <w:r>
        <w:t xml:space="preserve">] nurse members, including:</w:t>
      </w:r>
    </w:p>
    <w:p w:rsidR="003F3435" w:rsidRDefault="0032493E">
      <w:pPr>
        <w:spacing w:line="480" w:lineRule="auto"/>
        <w:ind w:firstLine="2160"/>
        <w:jc w:val="both"/>
      </w:pPr>
      <w:r>
        <w:t xml:space="preserve">(A)</w:t>
      </w:r>
      <w:r xml:space="preserve">
        <w:t> </w:t>
      </w:r>
      <w:r xml:space="preserve">
        <w:t> </w:t>
      </w:r>
      <w:r>
        <w:rPr>
          <w:u w:val="single"/>
        </w:rPr>
        <w:t xml:space="preserve">two</w:t>
      </w:r>
      <w:r xml:space="preserve">
        <w:t> </w:t>
      </w:r>
      <w:r>
        <w:t xml:space="preserve">[</w:t>
      </w:r>
      <w:r>
        <w:rPr>
          <w:strike/>
        </w:rPr>
        <w:t xml:space="preserve">one</w:t>
      </w:r>
      <w:r>
        <w:t xml:space="preserve">] advanced practice </w:t>
      </w:r>
      <w:r>
        <w:rPr>
          <w:u w:val="single"/>
        </w:rPr>
        <w:t xml:space="preserve">registered nurses</w:t>
      </w:r>
      <w:r>
        <w:t xml:space="preserve"> [</w:t>
      </w:r>
      <w:r>
        <w:rPr>
          <w:strike/>
        </w:rPr>
        <w:t xml:space="preserve">nurse</w:t>
      </w:r>
      <w:r>
        <w:t xml:space="preserve">];</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w:t>
      </w:r>
      <w:r>
        <w:rPr>
          <w:u w:val="single"/>
        </w:rPr>
        <w:t xml:space="preserve">registered</w:t>
      </w:r>
      <w:r>
        <w:t xml:space="preserve"> </w:t>
      </w:r>
      <w:r>
        <w:t xml:space="preserve">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rPr>
          <w:u w:val="single"/>
        </w:rPr>
        <w:t xml:space="preserve">five</w:t>
      </w:r>
      <w:r xml:space="preserve">
        <w:t> </w:t>
      </w:r>
      <w:r>
        <w:t xml:space="preserve">[</w:t>
      </w:r>
      <w:r>
        <w:rPr>
          <w:strike/>
        </w:rPr>
        <w:t xml:space="preserve">four</w:t>
      </w:r>
      <w:r>
        <w:t xml:space="preserve">] members who represent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301.457, Occupations Code, is amended by adding Subsections (b-1), (h), and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scope of practice applicable to a nurse who is not an advanced practice registered nurse;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considered unprofessional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301, Occupations Code, is amended by adding Section 301.4575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301.4575.</w:t>
      </w:r>
      <w:r>
        <w:rPr>
          <w:u w:val="single"/>
        </w:rPr>
        <w:t xml:space="preserve"> </w:t>
      </w:r>
      <w:r>
        <w:rPr>
          <w:u w:val="single"/>
        </w:rPr>
        <w:t xml:space="preserve"> </w:t>
      </w:r>
      <w:r>
        <w:rPr>
          <w:u w:val="single"/>
        </w:rPr>
        <w:t xml:space="preserve">PROCEDURES FOR EXPERT ADVANCED PRACTICE REGISTERED NURSE REVIEW.  An expert advanced practice registered nurse reviewing a complaint against an advanced practice registered nurse under Section 301.457(h)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preliminary written report of that determination to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301.464(b),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governor shall appoint two additional members to the Texas Board of Nursing as required by Section 301.051(a), Occupations Code, as amended by this Act. In appointing those members, the governor shall appoint one person to a term expiring January 31, 2025, and one person to a term expiring January 31, 2029.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February 1, 2024,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