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1344</w:t>
      </w:r>
    </w:p>
    <w:p w:rsidR="003F3435" w:rsidRDefault="0032493E">
      <w:pPr>
        <w:ind w:firstLine="720"/>
        <w:jc w:val="both"/>
      </w:pPr>
      <w:r>
        <w:t xml:space="preserve">(Ashby)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advertising of certain used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2301, Occupations Code, is amended by adding Section 2301.364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2301.364.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ADVERTISING BY DEALERS OF CERTAIN USED MOTOR VEHICLES.  Notwithstanding any other law, a dealer may advertise for sale a specific used motor vehicle that is not in the possession of the dealer at the time the advertisement is placed if the advertisement: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and conspicuously discloses that the vehicle is not in the possession of the dealer;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states that the motor vehicle may be obtained within a reasonable time from the manufacturer, the distributor, or a manufacturer- or distributor-affiliated financial institution;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the vehicle identification number of the specific motor vehicle, if the price of the vehicle is advertised.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