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1351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functions of the Texas Water Development Board and continuation and functions of the State Water Implementation Fund for Texas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w:t>
      </w:r>
      <w:r xml:space="preserve">
        <w:t> </w:t>
      </w:r>
      <w:r xml:space="preserve">
        <w:t> </w:t>
      </w:r>
      <w:r>
        <w:t xml:space="preserve">The Texas Water Development Board is subject to review under Chapter 325, Government Code (Texas Sunset Act), but is not abolished under that chapter.</w:t>
      </w:r>
      <w:r xml:space="preserve">
        <w:t> </w:t>
      </w:r>
      <w:r xml:space="preserve">
        <w:t> </w:t>
      </w:r>
      <w:r>
        <w:t xml:space="preserve">The board shall be reviewed during the period in which state agencies abolished in </w:t>
      </w:r>
      <w:r>
        <w:rPr>
          <w:u w:val="single"/>
        </w:rPr>
        <w:t xml:space="preserve">2035</w:t>
      </w:r>
      <w:r>
        <w:t xml:space="preserve"> [</w:t>
      </w:r>
      <w:r>
        <w:rPr>
          <w:strike/>
        </w:rPr>
        <w:t xml:space="preserve">2023</w:t>
      </w:r>
      <w:r>
        <w:t xml:space="preserve">] and every 12th year after </w:t>
      </w:r>
      <w:r>
        <w:rPr>
          <w:u w:val="single"/>
        </w:rPr>
        <w:t xml:space="preserve">2035</w:t>
      </w:r>
      <w:r>
        <w:t xml:space="preserve"> [</w:t>
      </w:r>
      <w:r>
        <w:rPr>
          <w:strike/>
        </w:rPr>
        <w:t xml:space="preserve">2023</w:t>
      </w:r>
      <w:r>
        <w:t xml:space="preserve">] are reviewed.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6.062,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xml:space="preserve">
        <w:t>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w:t>
      </w:r>
      <w:r>
        <w:t xml:space="preserve"> [</w:t>
      </w:r>
      <w:r>
        <w:rPr>
          <w:strike/>
        </w:rPr>
        <w:t xml:space="preserve">law, Chapter 2001, Government Code;</w:t>
      </w:r>
      <w:r>
        <w:t xml:space="preserve">]</w:t>
      </w:r>
      <w:r xml:space="preserve">
        <w:t> </w:t>
      </w:r>
      <w:r xml:space="preserve">
        <w:t> </w:t>
      </w:r>
      <w:r>
        <w:t xml:space="preserve">and </w:t>
      </w:r>
      <w:r>
        <w:rPr>
          <w:u w:val="single"/>
        </w:rPr>
        <w:t xml:space="preserve">disclosing conflicts of interest;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 of 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15.438(k), Water Code, is amended to read as follows:</w:t>
      </w:r>
    </w:p>
    <w:p w:rsidR="003F3435" w:rsidRDefault="0032493E">
      <w:pPr>
        <w:spacing w:line="480" w:lineRule="auto"/>
        <w:ind w:firstLine="720"/>
        <w:jc w:val="both"/>
      </w:pPr>
      <w:r>
        <w:t xml:space="preserve">(k)</w:t>
      </w:r>
      <w:r xml:space="preserve">
        <w:t> </w:t>
      </w:r>
      <w:r xml:space="preserve">
        <w:t> </w:t>
      </w:r>
      <w:r>
        <w:t xml:space="preserve">The advisory committee is subject to Chapter 325, Government Code (Texas Sunset Act).</w:t>
      </w:r>
      <w:r xml:space="preserve">
        <w:t> </w:t>
      </w:r>
      <w:r xml:space="preserve">
        <w:t> </w:t>
      </w:r>
      <w:r>
        <w:t xml:space="preserve">Unless continued in existence as provided by that chapter, the advisory committee is abolished and this section expires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16, Water Code, is amended by adding Section 16.0511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16.0511.</w:t>
      </w:r>
      <w:r>
        <w:rPr>
          <w:u w:val="single"/>
        </w:rPr>
        <w:t xml:space="preserve"> </w:t>
      </w:r>
      <w:r>
        <w:rPr>
          <w:u w:val="single"/>
        </w:rPr>
        <w:t xml:space="preserve"> </w:t>
      </w:r>
      <w:r>
        <w:rPr>
          <w:u w:val="single"/>
        </w:rPr>
        <w:t xml:space="preserve">FEASIBILITY REVIEW OF CERTAIN PROJECTS IN STATE WATER PLAN.  (a) Not later than January 5, 2027, and before the end of each successive five-year period after that date, the executive administrator shall evaluate the feasibility of certain projects under the state water plan,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the board has prioritized for funding;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projects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reservoirs;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interstate water transfers;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innovative technology projects;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desalination plants;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large projects as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feasibility review, the executive administrator shall analyze for each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timeline;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associated costs;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land acquisition considerations;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economic impact.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16.053, Water Code, is amended by adding Subsection (e-2) to read as follows:</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regional water planning group may plan for drought conditions worse than the drought of record when developing a regional water plan under Subsection (e).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E, Chapter 16, Water Code, is amended by adding Section 16.147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w:t>
      </w:r>
      <w:r>
        <w:rPr>
          <w:u w:val="single"/>
        </w:rPr>
        <w:t xml:space="preserve"> </w:t>
      </w:r>
      <w:r>
        <w:rPr>
          <w:u w:val="single"/>
        </w:rPr>
        <w:t xml:space="preserve"> </w:t>
      </w:r>
      <w:r>
        <w:rPr>
          <w:u w:val="single"/>
        </w:rPr>
        <w:t xml:space="preserve">ESTABLISHMENT OF CERTAIN PERFORMANCE GOALS AND METRICS.  (a) The board shall develop and implement performance goals and performance metrics as part of a comprehensive evaluation of the board's review of proposed projects for compliance with programmatic and design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periodically: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data regarding the performance metrics;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analyze the data described by Subdivision (1) related to the performance metrics to identify relevant trends;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performance metrics to assess the board's progress toward meeting the board's performance goals.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periodically review the performance goals and performance metrics to assess the effectiveness and efficiency of the board's review of proposed projects.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periodically update the board on the implementation and analysis of the performance metrics and progress toward performance goals.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develop and implement periodic reporting schedules for all performance goals and performance metrics required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17.276, Water Code, is amended by adding Subsections (d-1), (d-2), and (d-3)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board by rule may adopt procedures allowing the use of different standards of review and approval of design criteria for plans and specifications for sewerage collection, treatment, and disposal systems.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In establishing the appropriate standard of review and approval for plans and specifications under Subsection (d-1), the rules must require an individualized assessment that applies risk-based considerations to each project associated with the plans and specifications,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potential financial risk associated with the project;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risk to public health associated with the project;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relevant financial considerations associated with the project.</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For plans and specifications subject to a limited standard of review and approval under Subsection (d-1), the board shall require the registered professional engineer who submitted the plans and specifications to make a finding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plans and specifications are in substantial compliance with standards established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deviation from the standards established by the commission is based on the best professional judgment of the registered professional engineer.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15.108;</w:t>
      </w:r>
    </w:p>
    <w:p w:rsidR="003F3435" w:rsidRDefault="0032493E">
      <w:pPr>
        <w:spacing w:line="480" w:lineRule="auto"/>
        <w:ind w:firstLine="1440"/>
        <w:jc w:val="both"/>
      </w:pPr>
      <w:r>
        <w:t xml:space="preserve">(2)</w:t>
      </w:r>
      <w:r xml:space="preserve">
        <w:t> </w:t>
      </w:r>
      <w:r xml:space="preserve">
        <w:t> </w:t>
      </w:r>
      <w:r>
        <w:t xml:space="preserve">Section 15.218; and</w:t>
      </w:r>
    </w:p>
    <w:p w:rsidR="003F3435" w:rsidRDefault="0032493E">
      <w:pPr>
        <w:spacing w:line="480" w:lineRule="auto"/>
        <w:ind w:firstLine="1440"/>
        <w:jc w:val="both"/>
      </w:pPr>
      <w:r>
        <w:t xml:space="preserve">(3)</w:t>
      </w:r>
      <w:r xml:space="preserve">
        <w:t> </w:t>
      </w:r>
      <w:r xml:space="preserve">
        <w:t> </w:t>
      </w:r>
      <w:r>
        <w:t xml:space="preserve">Section 15.3061.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Chapter 17, Water Code, apply only to an application submitted to the Texas Water Development Board on or after the effective date of this Act. An application submitted to the Texas Water Development Board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