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88R2760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exemplary damages based on a compensable death under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Christion Fitzgerald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408.001(b), Labor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prohibit the recovery of exemplary damages by the surviving spouse</w:t>
      </w:r>
      <w:r>
        <w:rPr>
          <w:u w:val="single"/>
        </w:rPr>
        <w:t xml:space="preserve">,</w:t>
      </w:r>
      <w:r>
        <w:t xml:space="preserve"> [</w:t>
      </w:r>
      <w:r>
        <w:rPr>
          <w:strike/>
        </w:rPr>
        <w:t xml:space="preserve">or</w:t>
      </w:r>
      <w:r>
        <w:t xml:space="preserve">] heirs of the body</w:t>
      </w:r>
      <w:r>
        <w:rPr>
          <w:u w:val="single"/>
        </w:rPr>
        <w:t xml:space="preserve">, or the estate</w:t>
      </w:r>
      <w:r>
        <w:t xml:space="preserve"> of a deceased employee whose death was caused by an intentional act or omission of the employer or by the employer's gross negligence.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