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88R11052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1360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renewal of a registration permit by a physician.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156.001, Occupations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addition to the information required by Subsection (c), a license holder shall submit to the board with the registration permit renewal application a statement on a form prescribed by the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delegation by the license holder of a medical act to a health care provider who is not a physician has been in accordance with applicable law, including the supervision required by that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any prescriptive authority agreement into which the license holder has entered with an advanced practice registered nurse or physician assistant, the agreement is in accordance with applicable law and the license holder has supervised each advanced practice registered nurse and physician assistant as required by the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156.001(e-1), Occupations Code, as added by this Act, applies only to an application for renewal of a registration permit under Subtitle B, Title 3, Occupations Code, that is submitted on or after December 1, 2023.</w:t>
      </w:r>
      <w:r xml:space="preserve">
        <w:t> </w:t>
      </w:r>
      <w:r xml:space="preserve">
        <w:t> </w:t>
      </w:r>
      <w:r>
        <w:t xml:space="preserve">An application for renewal submitted before December 1, 2023,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Medical Board shall prescribe the form required by Section 156.001(e-1),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