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88R10921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hiring and licensing certain individuals lawfully present in the United States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COMMISSIONING AND EMPLOYING AS PEACE OFFICERS CERTAIN INDIVIDUALS LAWFULLY PRESENT IN THE UNITED STATES. Notwithstanding any other law, a political subdivision that commissions and employs peace officers may commission and employ as a peace officer an individual who is lawfully present in the United States as the result of receiving deferred action from the United States Department of Homeland Security and who has obtained employment authorization from the United States Citizenship and Immigration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INDIVIDUALS LAWFULLY PRESENT IN THE UNITED STATES.  The commission shall issue a peace officer license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lawfully present in the United States as the result of receiving deferred action from the United States Department of Homeland 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obtained employment authorization from the United States Citizenship and Immigration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Commission on Law Enforcement shall adopt or amend rules as necessary to comply with Section 1701.3095,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