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88R13676 SRA-D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Paxton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1370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information contained in the annual financial audit of certain regional transportation authorities.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J, Chapter 452, Transportation Code, is amended by adding Section 452.453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452.453.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DISAGGREGATION OF EXPENDITURES BY MUNICIPALITY:  CERTAIN AUTHORITIES.  The subregional board of an authority consisting of one subregion governed by a subregional board created under Subchapter O shall disaggregate expenditures by municipality in a financial audit required under Section 452.451.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1370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