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1370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5, Nays 2, one present not voting;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1370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King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information contained in the annual financial audit of certain regional transportation authorities.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J, Chapter 452, Transportation Code, is amended by adding Section 452.453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452.453.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DISAGGREGATION OF EXPENDITURES:  CERTAIN AUTHORITIES.  The subregional board of an authority consisting of one subregion governed by a subregional board created under Subchapter O shall disaggregate expenditures by member municipality in an annual financial report using a uniform methodology that is proposed by the authority, provided to the board, and approved by resolution of a simple majority of the member municipalities'</w:t>
      </w:r>
      <w:r>
        <w:rPr>
          <w:u w:val="single"/>
        </w:rPr>
        <w:t xml:space="preserve"> </w:t>
      </w:r>
      <w:r>
        <w:rPr>
          <w:u w:val="single"/>
        </w:rPr>
        <w:t xml:space="preserve">governing bodies.  On request of a simple majority of the member municipalities' governing bodies, the authority shall propose a new methodology for disaggregating expenditures by member municipality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1370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