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88R13225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1378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procurement and operation of backup generation facilities for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31.002, Utilities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"Backup generation facility" means an electric generation facility operated under Subchapter O, Chapter 39.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35.004(b), Utilities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ensure that an electric utility or transmission and distribution utility provides nondiscriminatory access to wholesale transmission service for qualifying facilities, exempt wholesale generators, power marketers, power generation companies, retail electric providers, </w:t>
      </w:r>
      <w:r>
        <w:rPr>
          <w:u w:val="single"/>
        </w:rPr>
        <w:t xml:space="preserve">backup generation facility operators,</w:t>
      </w:r>
      <w:r>
        <w:t xml:space="preserve"> and other electric utilities or transmission and distribution utilities.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35.005(a), Utilities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require an electric utility to provide transmission service at wholesale to another electric utility, a qualifying facility, an exempt wholesale generator, </w:t>
      </w:r>
      <w:r>
        <w:rPr>
          <w:u w:val="single"/>
        </w:rPr>
        <w:t xml:space="preserve">a backup generation facility operator,</w:t>
      </w:r>
      <w:r>
        <w:t xml:space="preserve"> or a power marketer and may determine whether terms for the transmission service are reasonable.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39, Utilities Code, is amended by adding Subchapter O to read as follows:</w:t>
      </w:r>
    </w:p>
    <w:p w:rsidR="003F3435" w:rsidRDefault="0032493E">
      <w:pPr>
        <w:spacing w:line="480" w:lineRule="auto"/>
        <w:jc w:val="center"/>
      </w:pPr>
      <w:r>
        <w:rPr>
          <w:u w:val="single"/>
        </w:rPr>
        <w:t xml:space="preserve">SUBCHAPTER O. BACKUP GENERATION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39.701.</w:t>
      </w:r>
      <w:r>
        <w:rPr>
          <w:u w:val="single"/>
        </w:rPr>
        <w:t xml:space="preserve"> </w:t>
      </w:r>
      <w:r>
        <w:rPr>
          <w:u w:val="single"/>
        </w:rPr>
        <w:t xml:space="preserve"> </w:t>
      </w:r>
      <w:r>
        <w:rPr>
          <w:u w:val="single"/>
        </w:rPr>
        <w:t xml:space="preserve">PURPOSE; LIMITATION. (a) The purpose of this subchapter is to establish a program to allow the comptroller, in consultation with the commission, to contract with entities for the construction and operation of at least 5,000 megawatts of generating capacity powered by nuclear energy or natural gas for the ERCOT power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31, 2024, the commission shall determine whether market participants have contracted for the installation of at least 5,000 megawatts of new generation capacity for the ERCOT power region compared to the amount of installed generation capacity on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 determines under Subsection (b) that market participants have contracted for the installation of at least 5,000 megawatts of new generation capacity for the ERCOT power region, the comptroller may not enter into a contract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39.702.</w:t>
      </w:r>
      <w:r>
        <w:rPr>
          <w:u w:val="single"/>
        </w:rPr>
        <w:t xml:space="preserve"> </w:t>
      </w:r>
      <w:r>
        <w:rPr>
          <w:u w:val="single"/>
        </w:rPr>
        <w:t xml:space="preserve"> </w:t>
      </w:r>
      <w:r>
        <w:rPr>
          <w:u w:val="single"/>
        </w:rPr>
        <w:t xml:space="preserve">CONSTRUCTION AND OPERATION OF BACKUP GENERATION FACILITY.  (a) The comptroller may contract with one or more entities to construct or operate backup generation facilities in the manner provided by this subchapter. The comptroller may use any procurement method that provides the best value to the state, including a method authorized by Chapter 2267,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must provide that an entity that constructs or operates a backup generation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entitled to payments from the state for the construction or operation of a backup generation facility equal to 103 percent of the actual costs of constructing or operating the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entitled to sell electric energy from the backup generation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sell the backup generation facility without the permission of the comptroller;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shall provide electric energy for the ERCOT power region as directed by the independent system operator in times of high demand and low supply.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backup generation facility constructed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property of the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considered to be installed generation capacity for the purposes of Sections 39.154 and 39.158.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entity is eligible to operate a backup generation facility under this subchapter only if the entity is authorized by this title to generate electric energy at wholesale.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backup generation facility is constructed under this subchapter,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evaluate the reserve margin for the ERCOT power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whether the reserve margin equals at least 15 percent of peak electric demand over the preceding two years.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condition under Subsection (e)(2) is met, the comptroller shall sell each backup generation facility constructed under this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