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88R11492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for peace officers on acquired and traumatic brain injuries and trauma-affected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training programs established under Sections 1701.264 and 1701.265. </w:t>
      </w:r>
      <w:r>
        <w:rPr>
          <w:u w:val="single"/>
        </w:rPr>
        <w:t xml:space="preserve"> </w:t>
      </w:r>
      <w:r>
        <w:rPr>
          <w:u w:val="single"/>
        </w:rPr>
        <w:t xml:space="preserve">An officer shall complete the programs not later than the last day of the first full continuing education training period that begins on or after the date the officer is licensed under this chapter unless the officer completes the programs as part of the officer's basic training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1701.264,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require an officer to complete the training program established under this section unless the officer has completed the training under Section 1701.253(q) or other training equivalent to the training program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1701.265,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require an officer to complete the training program established under this section unless the officer has completed the training under Section 1701.253(q) or other training equivalent to the training program as determined by the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Commission on Law Enforcement shall adopt rules to implement Sections 1701.253(q), 1701.264(c), and 1701.265(c),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