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Eckhardt, et al.</w:t>
      </w:r>
      <w:r xml:space="preserve">
        <w:tab wTab="150" tlc="none" cTlc="0"/>
      </w:r>
      <w:r>
        <w:t xml:space="preserve">S.B.</w:t>
      </w:r>
      <w:r xml:space="preserve">
        <w:t> </w:t>
      </w:r>
      <w:r>
        <w:t xml:space="preserve">No.</w:t>
      </w:r>
      <w:r xml:space="preserve">
        <w:t> </w:t>
      </w:r>
      <w:r>
        <w:t xml:space="preserve">1381</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eligibility of the surviving spouse of an elderly person who qualified for a local option exemption from ad valorem taxation by a taxing unit of a portion of the appraised value of the deceased person's residence homestead to continue to receive an exemption for the same property from the same taxing unit in an amount equal to that of the exemption for which the deceased person qualified without applying for the exemption.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11.43, Tax Code, is amended by amending Subsection (l) and adding Subsections (m-2) and (m-3) to read as follows:</w:t>
      </w:r>
    </w:p>
    <w:p w:rsidR="003F3435" w:rsidRDefault="0032493E">
      <w:pPr>
        <w:spacing w:line="480" w:lineRule="auto"/>
        <w:ind w:firstLine="720"/>
        <w:jc w:val="both"/>
      </w:pPr>
      <w:r>
        <w:t xml:space="preserve">(l)</w:t>
      </w:r>
      <w:r xml:space="preserve">
        <w:t> </w:t>
      </w:r>
      <w:r xml:space="preserve">
        <w:t> </w:t>
      </w:r>
      <w:r>
        <w:t xml:space="preserve">The form for an application under Section 11.13 must include a space for the applicant to state the applicant's date of birth </w:t>
      </w:r>
      <w:r>
        <w:rPr>
          <w:u w:val="single"/>
        </w:rPr>
        <w:t xml:space="preserve">and, if applicable, the date of birth of the applicant's spouse</w:t>
      </w:r>
      <w:r>
        <w:t xml:space="preserve">. </w:t>
      </w:r>
      <w:r>
        <w:t xml:space="preserve"> </w:t>
      </w:r>
      <w:r>
        <w:t xml:space="preserve">Failure to provide the </w:t>
      </w:r>
      <w:r>
        <w:rPr>
          <w:u w:val="single"/>
        </w:rPr>
        <w:t xml:space="preserve">applicant's</w:t>
      </w:r>
      <w:r>
        <w:t xml:space="preserve"> date of birth does not affect the applicant's eligibility for an exemption under that section, other than an exemption under Section 11.13(c) or (d) for an individual 65 years of age or older. </w:t>
      </w:r>
      <w:r>
        <w:t xml:space="preserve"> </w:t>
      </w:r>
      <w:r>
        <w:t xml:space="preserve"> </w:t>
      </w:r>
      <w:r>
        <w:rPr>
          <w:u w:val="single"/>
        </w:rPr>
        <w:t xml:space="preserve">Failure to provide the date of birth of the applicant's spouse does not affect the applicant's eligibility for an exemption under Section 11.13 or the applicant's spouse's eligibility for an exemption under that section, other than an exemption under Section 11.13(q) for the surviving spouse of an individual 65 years of age or older.</w:t>
      </w:r>
    </w:p>
    <w:p w:rsidR="003F3435" w:rsidRDefault="0032493E">
      <w:pPr>
        <w:spacing w:line="480" w:lineRule="auto"/>
        <w:ind w:firstLine="720"/>
        <w:jc w:val="both"/>
      </w:pPr>
      <w:r>
        <w:rPr>
          <w:u w:val="single"/>
        </w:rPr>
        <w:t xml:space="preserve">(m-2)</w:t>
      </w:r>
      <w:r>
        <w:rPr>
          <w:u w:val="single"/>
        </w:rPr>
        <w:t xml:space="preserve"> </w:t>
      </w:r>
      <w:r>
        <w:rPr>
          <w:u w:val="single"/>
        </w:rPr>
        <w:t xml:space="preserve"> </w:t>
      </w:r>
      <w:r>
        <w:rPr>
          <w:u w:val="single"/>
        </w:rPr>
        <w:t xml:space="preserve">Notwithstanding Subsection (a), if a person who receives an exemption under Section 11.13(d) for an individual 65 years of age or older dies in a tax year, that person's surviving spouse is entitled to receive an exemption under Section 11.13(q) in the next tax year on the same property without applying for the exemption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appraisal district learns of the person's death from any source, including the death records maintained by the vital statistics unit of the Department of State Health Services or a local registration official;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surviving spouse is otherwise eligible to receive the exemption as shown by:</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information in the records of the appraisal district that was provided to the appraisal district in an application for an exemption under Section 11.13 on the property or in correspondence relating to the property;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information provided by the Texas Department of Public Safety to the appraisal district under Section 521.049, Transportation Code.</w:t>
      </w:r>
    </w:p>
    <w:p w:rsidR="003F3435" w:rsidRDefault="0032493E">
      <w:pPr>
        <w:spacing w:line="480" w:lineRule="auto"/>
        <w:ind w:firstLine="720"/>
        <w:jc w:val="both"/>
      </w:pPr>
      <w:r>
        <w:rPr>
          <w:u w:val="single"/>
        </w:rPr>
        <w:t xml:space="preserve">(m-3)</w:t>
      </w:r>
      <w:r>
        <w:rPr>
          <w:u w:val="single"/>
        </w:rPr>
        <w:t xml:space="preserve"> </w:t>
      </w:r>
      <w:r>
        <w:rPr>
          <w:u w:val="single"/>
        </w:rPr>
        <w:t xml:space="preserve"> </w:t>
      </w:r>
      <w:r>
        <w:rPr>
          <w:u w:val="single"/>
        </w:rPr>
        <w:t xml:space="preserve">Subsection (m-2) does not apply if the chief appraiser determines that the surviving spouse is no longer entitled to any exemption under Section 11.13 on the property.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applies only to ad valorem taxes imposed for an ad valorem tax year that begins on or after the effective date of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January 1, 2024.</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1381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